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C7262" w14:textId="0D859BAF" w:rsidR="00A30D9F" w:rsidRDefault="00A30D9F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Vrinda"/>
          <w:color w:val="3575F6"/>
          <w:sz w:val="44"/>
          <w:szCs w:val="44"/>
          <w:lang w:bidi="bn-IN"/>
        </w:rPr>
      </w:pPr>
      <w:r w:rsidRPr="00A30D9F">
        <w:rPr>
          <w:rFonts w:ascii="Arial" w:hAnsi="Arial" w:cs="Vrinda"/>
          <w:color w:val="3575F6"/>
          <w:sz w:val="44"/>
          <w:szCs w:val="44"/>
          <w:cs/>
          <w:lang w:bidi="bn-IN"/>
        </w:rPr>
        <w:t>ভালবাসা দিবস সম্পর্কে সৌদি আরবের সর্বোচ্চ ওলামা পরিষদের ফতোয়া</w:t>
      </w:r>
    </w:p>
    <w:p w14:paraId="59B23980" w14:textId="77777777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Vrinda"/>
          <w:color w:val="3575F6"/>
          <w:sz w:val="44"/>
          <w:szCs w:val="44"/>
          <w:lang w:bidi="bn-IN"/>
        </w:rPr>
      </w:pPr>
    </w:p>
    <w:p w14:paraId="56147086" w14:textId="756DFC9E" w:rsidR="00746D24" w:rsidRP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4"/>
          <w:szCs w:val="44"/>
        </w:rPr>
      </w:pPr>
      <w:r w:rsidRPr="00746D24">
        <w:rPr>
          <w:rFonts w:ascii="Arial" w:hAnsi="Arial" w:cs="Arial" w:hint="cs"/>
          <w:color w:val="FF0000"/>
          <w:sz w:val="44"/>
          <w:szCs w:val="44"/>
          <w:rtl/>
        </w:rPr>
        <w:t>فتوى</w:t>
      </w:r>
      <w:r w:rsidRPr="00746D24">
        <w:rPr>
          <w:rFonts w:ascii="Arial" w:hAnsi="Arial" w:cs="Arial"/>
          <w:color w:val="FF0000"/>
          <w:sz w:val="44"/>
          <w:szCs w:val="44"/>
          <w:rtl/>
        </w:rPr>
        <w:t xml:space="preserve"> </w:t>
      </w:r>
      <w:r w:rsidRPr="00746D24">
        <w:rPr>
          <w:rFonts w:ascii="Arial" w:hAnsi="Arial" w:cs="Arial" w:hint="cs"/>
          <w:color w:val="FF0000"/>
          <w:sz w:val="44"/>
          <w:szCs w:val="44"/>
          <w:rtl/>
        </w:rPr>
        <w:t>اللجنة</w:t>
      </w:r>
      <w:r w:rsidRPr="00746D24">
        <w:rPr>
          <w:rFonts w:ascii="Arial" w:hAnsi="Arial" w:cs="Arial"/>
          <w:color w:val="FF0000"/>
          <w:sz w:val="44"/>
          <w:szCs w:val="44"/>
          <w:rtl/>
        </w:rPr>
        <w:t xml:space="preserve"> </w:t>
      </w:r>
      <w:r w:rsidRPr="00746D24">
        <w:rPr>
          <w:rFonts w:ascii="Arial" w:hAnsi="Arial" w:cs="Arial" w:hint="cs"/>
          <w:color w:val="FF0000"/>
          <w:sz w:val="44"/>
          <w:szCs w:val="44"/>
          <w:rtl/>
        </w:rPr>
        <w:t>الدائمة</w:t>
      </w:r>
      <w:r w:rsidRPr="00746D24">
        <w:rPr>
          <w:rFonts w:ascii="Arial" w:hAnsi="Arial" w:cs="Arial"/>
          <w:color w:val="FF0000"/>
          <w:sz w:val="44"/>
          <w:szCs w:val="44"/>
          <w:rtl/>
        </w:rPr>
        <w:t xml:space="preserve"> </w:t>
      </w:r>
      <w:r w:rsidRPr="00746D24">
        <w:rPr>
          <w:rFonts w:ascii="Arial" w:hAnsi="Arial" w:cs="Arial" w:hint="cs"/>
          <w:color w:val="FF0000"/>
          <w:sz w:val="44"/>
          <w:szCs w:val="44"/>
          <w:rtl/>
        </w:rPr>
        <w:t>في</w:t>
      </w:r>
      <w:r w:rsidRPr="00746D24">
        <w:rPr>
          <w:rFonts w:ascii="Arial" w:hAnsi="Arial" w:cs="Arial"/>
          <w:color w:val="FF0000"/>
          <w:sz w:val="44"/>
          <w:szCs w:val="44"/>
          <w:rtl/>
        </w:rPr>
        <w:t xml:space="preserve"> </w:t>
      </w:r>
      <w:r w:rsidRPr="00746D24">
        <w:rPr>
          <w:rFonts w:ascii="Arial" w:hAnsi="Arial" w:cs="Arial" w:hint="cs"/>
          <w:color w:val="FF0000"/>
          <w:sz w:val="44"/>
          <w:szCs w:val="44"/>
          <w:rtl/>
        </w:rPr>
        <w:t>عيد</w:t>
      </w:r>
      <w:r w:rsidRPr="00746D24">
        <w:rPr>
          <w:rFonts w:ascii="Arial" w:hAnsi="Arial" w:cs="Arial"/>
          <w:color w:val="FF0000"/>
          <w:sz w:val="44"/>
          <w:szCs w:val="44"/>
          <w:rtl/>
        </w:rPr>
        <w:t xml:space="preserve"> </w:t>
      </w:r>
      <w:r w:rsidRPr="00746D24">
        <w:rPr>
          <w:rFonts w:ascii="Arial" w:hAnsi="Arial" w:cs="Arial" w:hint="cs"/>
          <w:color w:val="FF0000"/>
          <w:sz w:val="44"/>
          <w:szCs w:val="44"/>
          <w:rtl/>
        </w:rPr>
        <w:t>الحب</w:t>
      </w:r>
    </w:p>
    <w:p w14:paraId="1781333C" w14:textId="2A376D88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2B71D67F" w14:textId="493E82AE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7E281E0E" w14:textId="6415FEE9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3AE12C5A" w14:textId="77777777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105C0FD3" w14:textId="6B6F4E43" w:rsidR="00746D24" w:rsidRP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المُفتي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: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اللجنة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الدائمة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للبحوث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العلمية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والإفتاء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والدعوة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والإرشاد</w:t>
      </w:r>
    </w:p>
    <w:p w14:paraId="281A4AD1" w14:textId="13B4EBC0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1EC4E497" w14:textId="02824568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5AAD645F" w14:textId="48F07631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4BF312F0" w14:textId="77777777" w:rsid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272DDEDF" w14:textId="783F4B6F" w:rsidR="00746D24" w:rsidRPr="00746D24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ترجمة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: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أختر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الزمان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محمد</w:t>
      </w:r>
      <w:r w:rsidRPr="00746D24">
        <w:rPr>
          <w:rFonts w:ascii="Arial" w:hAnsi="Arial" w:cs="Arial"/>
          <w:color w:val="000000" w:themeColor="text1"/>
          <w:sz w:val="32"/>
          <w:szCs w:val="32"/>
          <w:rtl/>
        </w:rPr>
        <w:t xml:space="preserve"> </w:t>
      </w:r>
      <w:r w:rsidRPr="00746D24">
        <w:rPr>
          <w:rFonts w:ascii="Arial" w:hAnsi="Arial" w:cs="Arial" w:hint="cs"/>
          <w:color w:val="000000" w:themeColor="text1"/>
          <w:sz w:val="32"/>
          <w:szCs w:val="32"/>
          <w:rtl/>
        </w:rPr>
        <w:t>سليمان</w:t>
      </w:r>
    </w:p>
    <w:p w14:paraId="42743BCC" w14:textId="77777777" w:rsidR="00746D24" w:rsidRPr="00A30D9F" w:rsidRDefault="00746D24" w:rsidP="00A30D9F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75F6"/>
          <w:sz w:val="44"/>
          <w:szCs w:val="44"/>
        </w:rPr>
      </w:pPr>
    </w:p>
    <w:p w14:paraId="05F590A6" w14:textId="2F3DE5E0" w:rsidR="00A30D9F" w:rsidRDefault="00A30D9F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74A88249" w14:textId="7F9B2865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7E69B0E2" w14:textId="37B3DA98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09D5C2E0" w14:textId="68A1D40E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2350FE45" w14:textId="75376718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697AEF3D" w14:textId="2C38EA2D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1E7C9339" w14:textId="2C28A123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2DBA94BB" w14:textId="69E89BAE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1BA94292" w14:textId="476BA525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07AB4893" w14:textId="510BD17E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4D70C16A" w14:textId="79B8D5E6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42F2C2F4" w14:textId="762DE1C7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593B9903" w14:textId="5E69DC88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1E3E4272" w14:textId="5587DE9D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587406A6" w14:textId="762FF16F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284E1514" w14:textId="568B6D84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3DF54535" w14:textId="056CDD72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3C781410" w14:textId="29E97CAC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7D60AD5E" w14:textId="77777777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4065EBB8" w14:textId="2110CAF0" w:rsidR="00746D24" w:rsidRDefault="00746D24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D3E5F"/>
          <w:sz w:val="23"/>
          <w:szCs w:val="23"/>
        </w:rPr>
      </w:pPr>
    </w:p>
    <w:p w14:paraId="38BADC23" w14:textId="1D439F4C" w:rsidR="00A30D9F" w:rsidRPr="00746D24" w:rsidRDefault="00A30D9F" w:rsidP="00A30D9F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FF0000"/>
          <w:sz w:val="23"/>
          <w:szCs w:val="23"/>
          <w:rtl/>
          <w:lang w:bidi="bn-IN"/>
        </w:rPr>
      </w:pPr>
      <w:r w:rsidRPr="00746D24">
        <w:rPr>
          <w:rFonts w:ascii="Arial" w:eastAsia="Times New Roman" w:hAnsi="Arial" w:cs="Vrinda"/>
          <w:color w:val="FF0000"/>
          <w:sz w:val="36"/>
          <w:szCs w:val="36"/>
          <w:bdr w:val="none" w:sz="0" w:space="0" w:color="auto" w:frame="1"/>
          <w:cs/>
          <w:lang w:bidi="bn-IN"/>
        </w:rPr>
        <w:lastRenderedPageBreak/>
        <w:t>ফতোয়া নং ২১২০৩ তারিখঃ ২৩-১১- ১৪২০ হি</w:t>
      </w:r>
    </w:p>
    <w:p w14:paraId="3F15873A" w14:textId="3B90D029" w:rsidR="00A30D9F" w:rsidRPr="00A30D9F" w:rsidRDefault="00A30D9F" w:rsidP="00A30D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D3E5F"/>
          <w:sz w:val="23"/>
          <w:szCs w:val="23"/>
        </w:rPr>
      </w:pP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  <w:rtl/>
        </w:rPr>
        <w:t>  </w:t>
      </w:r>
    </w:p>
    <w:p w14:paraId="47AF78BC" w14:textId="77777777" w:rsidR="00A30D9F" w:rsidRPr="00A30D9F" w:rsidRDefault="00A30D9F" w:rsidP="00A30D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D3E5F"/>
          <w:sz w:val="23"/>
          <w:szCs w:val="23"/>
          <w:rtl/>
        </w:rPr>
      </w:pP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ফতোওয়াটি সর্বোচ্চ ওলামা পরিষদে বিশ্লেষণের পর এই মর্মে সিদ্ধান্ত গৃহিত হয়েছে যে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কুরআন সুন্নাহর স্পষ্ট প্রমাণাদি দ্বারা এ কথা অকাট্যভাবে প্রমাণিত যে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ইসলামে ঈদ বা উ</w:t>
      </w:r>
      <w:r w:rsidRPr="00A30D9F">
        <w:rPr>
          <w:rFonts w:ascii="Shonar Bangla" w:eastAsia="Times New Roman" w:hAnsi="Shonar Bangla" w:cs="Shonar Bangla" w:hint="cs"/>
          <w:color w:val="2D3E5F"/>
          <w:sz w:val="36"/>
          <w:szCs w:val="36"/>
          <w:bdr w:val="none" w:sz="0" w:space="0" w:color="auto" w:frame="1"/>
          <w:cs/>
          <w:lang w:bidi="bn-IN"/>
        </w:rPr>
        <w:t>ৎ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সবের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দিন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মাত্র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দু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'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টি। সালাফে সালেহীনগণও এ বিষয়ে একমত হয়েছেন। ইসলামে স্বীকৃত ঈদ দুটির একটি হল ঈদুল ফিতর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অপরটি হল ঈদুল আজহা বা কুরবানির ঈদ। উল্লিখিত ঈদ দু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'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টি ব্যতীত যত ঈদ বা উ</w:t>
      </w:r>
      <w:r w:rsidRPr="00A30D9F">
        <w:rPr>
          <w:rFonts w:ascii="Shonar Bangla" w:eastAsia="Times New Roman" w:hAnsi="Shonar Bangla" w:cs="Shonar Bangla" w:hint="cs"/>
          <w:color w:val="2D3E5F"/>
          <w:sz w:val="36"/>
          <w:szCs w:val="36"/>
          <w:bdr w:val="none" w:sz="0" w:space="0" w:color="auto" w:frame="1"/>
          <w:cs/>
          <w:lang w:bidi="bn-IN"/>
        </w:rPr>
        <w:t>ৎ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সব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আছে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হোক না তা কোন ব্যক্তির সাথে সম্পৃক্ত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বা কোন গোষ্ঠীর সাথে সম্পৃক্ত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বা কোন ঘটনার সাথে সম্পৃক্ত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,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তা বিদআত। মুসলমানদের তা পালন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করা বা পালন করতে বলা বৈধ নয় এবং এ উপলক্ষে আনন্দ প্রকাশ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করা ও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এ ব্যাপারে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কিছু দিয়ে সাহায্য করা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ও নিষেধ।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কেননা এ ধরনের কাজ আল্লাহ তা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'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আলার সীমা লঙ্ঘন বৈ অন্য কিছু হবে না। আর যে ব্যক্তি আল্লাহর সীমা লঙ্ঘন করবে সে নিজের উপর অত্যাচার করবে।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এ ধরনের কালচার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বিধর্মীদের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অনুসরনের কল্পে গ্রহণ করা হলে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অপরাধ আরো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মারাত্বক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হবে।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কারণ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এর মাধ্যমে তাদের সদৃশ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্য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তা গ্রহণ করা এবং তাদেরকে এক ধরনের বন্ধু বানানো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হয়। অথচ আল্লাহ তাআলা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মুমিনদেরকে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এ থেকে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বারণ করেছেন। রাসূলুল্লাহ সাল্লাল্লহু আলাইহি ওয়াসাল্লাম ইরশাদ করেন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   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  <w:rtl/>
        </w:rPr>
        <w:t>من تشبه بقوم فهو منهم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 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যে ব্যক্তি কোনো সম্প্রদায়ের সাথে স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া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দৃশ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্য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তা অবলম্বন কর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ল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সে তাদের দলভুক্ত বলে গণ্য। ভালবাসা দিবস পালন করাও এ নিষেধের অন্তর্ভুক্ত। কেননা এটি খৃষ্টানদের উ</w:t>
      </w:r>
      <w:r w:rsidRPr="00A30D9F">
        <w:rPr>
          <w:rFonts w:ascii="Shonar Bangla" w:eastAsia="Times New Roman" w:hAnsi="Shonar Bangla" w:cs="Shonar Bangla" w:hint="cs"/>
          <w:color w:val="2D3E5F"/>
          <w:sz w:val="36"/>
          <w:szCs w:val="36"/>
          <w:bdr w:val="none" w:sz="0" w:space="0" w:color="auto" w:frame="1"/>
          <w:cs/>
          <w:lang w:bidi="bn-IN"/>
        </w:rPr>
        <w:t>ৎ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সব।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যে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মুসলমান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আল্লাহ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এবং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পরকালের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প্রতি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বিশ্বাস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 xml:space="preserve"> </w:t>
      </w:r>
      <w:r w:rsidRPr="00A30D9F">
        <w:rPr>
          <w:rFonts w:ascii="Vrinda" w:eastAsia="Times New Roman" w:hAnsi="Vrind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রাখে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তার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জন্য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এ কাজ করা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দেয়া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বা এই দিনে কাউকে ফুল বা অন্যকোনো উপহার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দেয়া বৈধ নয়।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বরং তার কর্তব্য হল আল্লাহ এবং তার রাসূলের হুকুম পালন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করা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এবং আল্লাহর শাস্তি ও গযব আসে এমন কাজ থেকে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নিজে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দূরে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থাকা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ও অন্যদের দূরে রাখা।</w:t>
      </w:r>
    </w:p>
    <w:p w14:paraId="31B794FF" w14:textId="77777777" w:rsidR="00A30D9F" w:rsidRPr="00A30D9F" w:rsidRDefault="00A30D9F" w:rsidP="00A30D9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D3E5F"/>
          <w:sz w:val="23"/>
          <w:szCs w:val="23"/>
        </w:rPr>
      </w:pP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  <w:rtl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অতএব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এ দিবসকে কেন্দ্র করে পানাহার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করা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ক্রয়-বিক্রয়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করা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কোন কিছু প্রস্তুত করা বা উপঢৌকন দেয়া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 xml:space="preserve">, 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চিঠি-পত্র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চালাচালি করা ও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প্রচার-পত্র বিলি করা অবৈধ। এ সমস্ত কাজের মাধ্যমে আল্লাহ ও তাঁর রাসূলের নাফরমানি</w:t>
      </w:r>
      <w:r w:rsidRPr="00A30D9F">
        <w:rPr>
          <w:rFonts w:ascii="Helvetica" w:eastAsia="Times New Roman" w:hAnsi="Helvetica" w:cs="Helvetica" w:hint="cs"/>
          <w:color w:val="2D3E5F"/>
          <w:sz w:val="36"/>
          <w:szCs w:val="36"/>
          <w:bdr w:val="none" w:sz="0" w:space="0" w:color="auto" w:frame="1"/>
          <w:lang w:bidi="bn-IN"/>
        </w:rPr>
        <w:t> </w:t>
      </w:r>
      <w:r w:rsidRPr="00A30D9F">
        <w:rPr>
          <w:rFonts w:ascii="Helvetica" w:eastAsia="Times New Roman" w:hAnsi="Helvetica" w:cs="Vrinda" w:hint="cs"/>
          <w:color w:val="2D3E5F"/>
          <w:sz w:val="36"/>
          <w:szCs w:val="36"/>
          <w:bdr w:val="none" w:sz="0" w:space="0" w:color="auto" w:frame="1"/>
          <w:cs/>
          <w:lang w:bidi="bn-IN"/>
        </w:rPr>
        <w:t>করা হয়।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 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আল্লাহ তা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'</w:t>
      </w:r>
      <w:r w:rsidRPr="00A30D9F">
        <w:rPr>
          <w:rFonts w:ascii="Helvetica" w:eastAsia="Times New Roman" w:hAnsi="Helvetica" w:cs="Vrinda"/>
          <w:color w:val="2D3E5F"/>
          <w:sz w:val="36"/>
          <w:szCs w:val="36"/>
          <w:bdr w:val="none" w:sz="0" w:space="0" w:color="auto" w:frame="1"/>
          <w:cs/>
          <w:lang w:bidi="bn-IN"/>
        </w:rPr>
        <w:t>আলা বলেন</w:t>
      </w:r>
      <w:r w:rsidRPr="00A30D9F">
        <w:rPr>
          <w:rFonts w:ascii="Helvetica" w:eastAsia="Times New Roman" w:hAnsi="Helvetica" w:cs="Helvetica"/>
          <w:color w:val="2D3E5F"/>
          <w:sz w:val="36"/>
          <w:szCs w:val="36"/>
          <w:bdr w:val="none" w:sz="0" w:space="0" w:color="auto" w:frame="1"/>
        </w:rPr>
        <w:t>,</w:t>
      </w:r>
    </w:p>
    <w:p w14:paraId="6ADBC62A" w14:textId="0003512A" w:rsidR="00A30D9F" w:rsidRPr="00453A41" w:rsidRDefault="00A30D9F" w:rsidP="00A30D9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D3E5F"/>
          <w:sz w:val="20"/>
          <w:szCs w:val="20"/>
        </w:rPr>
      </w:pPr>
      <w:r w:rsidRPr="00453A41">
        <w:rPr>
          <w:rFonts w:ascii="Helvetica" w:eastAsia="Times New Roman" w:hAnsi="Helvetica" w:cs="Helvetica" w:hint="cs"/>
          <w:color w:val="2D3E5F"/>
          <w:sz w:val="28"/>
          <w:szCs w:val="28"/>
          <w:bdr w:val="none" w:sz="0" w:space="0" w:color="auto" w:frame="1"/>
          <w:rtl/>
        </w:rPr>
        <w:t>(</w:t>
      </w:r>
      <w:r w:rsidRPr="00453A41">
        <w:rPr>
          <w:rFonts w:ascii="Helvetica" w:eastAsia="Times New Roman" w:hAnsi="Helvetica" w:cs="Helvetica"/>
          <w:color w:val="2D3E5F"/>
          <w:sz w:val="28"/>
          <w:szCs w:val="28"/>
          <w:bdr w:val="none" w:sz="0" w:space="0" w:color="auto" w:frame="1"/>
          <w:rtl/>
        </w:rPr>
        <w:t>وَتَعَاوَنُوا عَلَى الْبِرِّ وَالتَّقْوَى وَلَا تَعَاوَنُوا عَلَى الْإِثْمِ وَالْعُدْوَانِ وَاتَّقُوا اللَّهَ إِنَّ اللَّهَ شَدِيدُ الْعِقَابِ</w:t>
      </w:r>
      <w:r w:rsidRPr="00453A41">
        <w:rPr>
          <w:rFonts w:ascii="Helvetica" w:eastAsia="Times New Roman" w:hAnsi="Helvetica" w:cs="Helvetica" w:hint="cs"/>
          <w:color w:val="2D3E5F"/>
          <w:sz w:val="28"/>
          <w:szCs w:val="28"/>
          <w:bdr w:val="none" w:sz="0" w:space="0" w:color="auto" w:frame="1"/>
          <w:rtl/>
          <w:lang w:bidi="ar-EG"/>
        </w:rPr>
        <w:t>)</w:t>
      </w:r>
      <w:r w:rsidRPr="00453A41">
        <w:rPr>
          <w:rFonts w:ascii="Helvetica" w:eastAsia="Times New Roman" w:hAnsi="Helvetica" w:cs="Helvetica"/>
          <w:color w:val="2D3E5F"/>
          <w:sz w:val="28"/>
          <w:szCs w:val="28"/>
          <w:bdr w:val="none" w:sz="0" w:space="0" w:color="auto" w:frame="1"/>
          <w:rtl/>
        </w:rPr>
        <w:t xml:space="preserve"> المائدة2 </w:t>
      </w:r>
      <w:r w:rsidR="00453A41">
        <w:rPr>
          <w:rFonts w:ascii="Helvetica" w:eastAsia="Times New Roman" w:hAnsi="Helvetica" w:cs="Helvetica"/>
          <w:color w:val="2D3E5F"/>
          <w:sz w:val="28"/>
          <w:szCs w:val="28"/>
          <w:bdr w:val="none" w:sz="0" w:space="0" w:color="auto" w:frame="1"/>
        </w:rPr>
        <w:br/>
      </w:r>
    </w:p>
    <w:p w14:paraId="08CF96B7" w14:textId="77777777" w:rsidR="00A30D9F" w:rsidRPr="00453A41" w:rsidRDefault="00A30D9F" w:rsidP="002D0E01">
      <w:pPr>
        <w:shd w:val="clear" w:color="auto" w:fill="FFFFFF"/>
        <w:spacing w:after="0" w:line="240" w:lineRule="auto"/>
        <w:ind w:left="30" w:right="30"/>
        <w:jc w:val="center"/>
        <w:rPr>
          <w:rFonts w:ascii="Helvetica" w:eastAsia="Times New Roman" w:hAnsi="Helvetica" w:cs="Helvetica"/>
          <w:b/>
          <w:bCs/>
          <w:color w:val="4472C4" w:themeColor="accent1"/>
          <w:sz w:val="16"/>
          <w:szCs w:val="16"/>
        </w:rPr>
      </w:pPr>
      <w:r w:rsidRPr="00453A41">
        <w:rPr>
          <w:rFonts w:ascii="Helvetica" w:eastAsia="Times New Roman" w:hAnsi="Helvetica" w:cs="Vrinda" w:hint="cs"/>
          <w:b/>
          <w:bCs/>
          <w:color w:val="4472C4" w:themeColor="accent1"/>
          <w:bdr w:val="none" w:sz="0" w:space="0" w:color="auto" w:frame="1"/>
          <w:cs/>
          <w:lang w:bidi="bn-IN"/>
        </w:rPr>
        <w:t>ফতোয়াটি যারা সত্যায়ন করেছেন</w:t>
      </w:r>
      <w:r w:rsidRPr="00453A41">
        <w:rPr>
          <w:rFonts w:ascii="Helvetica" w:eastAsia="Times New Roman" w:hAnsi="Helvetica" w:cs="Helvetica"/>
          <w:b/>
          <w:bCs/>
          <w:color w:val="4472C4" w:themeColor="accent1"/>
          <w:bdr w:val="none" w:sz="0" w:space="0" w:color="auto" w:frame="1"/>
        </w:rPr>
        <w:t> </w:t>
      </w:r>
      <w:r w:rsidRPr="00453A41">
        <w:rPr>
          <w:rFonts w:ascii="Helvetica" w:eastAsia="Times New Roman" w:hAnsi="Helvetica" w:cs="Vrinda" w:hint="cs"/>
          <w:b/>
          <w:bCs/>
          <w:color w:val="4472C4" w:themeColor="accent1"/>
          <w:bdr w:val="none" w:sz="0" w:space="0" w:color="auto" w:frame="1"/>
          <w:cs/>
          <w:lang w:bidi="bn-IN"/>
        </w:rPr>
        <w:t>:</w:t>
      </w:r>
    </w:p>
    <w:p w14:paraId="1ED5A706" w14:textId="77777777" w:rsidR="00A30D9F" w:rsidRPr="00453A41" w:rsidRDefault="00A30D9F" w:rsidP="002D0E01">
      <w:pPr>
        <w:shd w:val="clear" w:color="auto" w:fill="FFFFFF"/>
        <w:spacing w:after="0" w:line="240" w:lineRule="auto"/>
        <w:ind w:left="30" w:right="30"/>
        <w:jc w:val="center"/>
        <w:rPr>
          <w:rFonts w:ascii="Helvetica" w:eastAsia="Times New Roman" w:hAnsi="Helvetica" w:cs="Helvetica"/>
          <w:b/>
          <w:bCs/>
          <w:color w:val="4472C4" w:themeColor="accent1"/>
          <w:sz w:val="16"/>
          <w:szCs w:val="16"/>
        </w:rPr>
      </w:pP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সৌদি আরবের গবেষণা ও ফতোয়া প্রদান বিষয়ক স্থায়ী কমিটির চেয়ারম্যান</w:t>
      </w:r>
      <w:r w:rsidRPr="00453A41">
        <w:rPr>
          <w:rFonts w:ascii="Helvetica" w:eastAsia="Times New Roman" w:hAnsi="Helvetica" w:cs="Helvetica" w:hint="cs"/>
          <w:b/>
          <w:bCs/>
          <w:color w:val="4472C4" w:themeColor="accent1"/>
          <w:bdr w:val="none" w:sz="0" w:space="0" w:color="auto" w:frame="1"/>
          <w:lang w:bidi="bn-IN"/>
        </w:rPr>
        <w:t> </w:t>
      </w:r>
      <w:r w:rsidRPr="00453A41">
        <w:rPr>
          <w:rFonts w:ascii="Helvetica" w:eastAsia="Times New Roman" w:hAnsi="Helvetica" w:cs="Vrinda" w:hint="cs"/>
          <w:b/>
          <w:bCs/>
          <w:color w:val="4472C4" w:themeColor="accent1"/>
          <w:bdr w:val="none" w:sz="0" w:space="0" w:color="auto" w:frame="1"/>
          <w:cs/>
          <w:lang w:bidi="bn-IN"/>
        </w:rPr>
        <w:t>ও সদস্যবৃন্দ</w:t>
      </w:r>
      <w:r w:rsidRPr="00453A41">
        <w:rPr>
          <w:rFonts w:ascii="Helvetica" w:eastAsia="Times New Roman" w:hAnsi="Helvetica" w:cs="Helvetica"/>
          <w:b/>
          <w:bCs/>
          <w:color w:val="4472C4" w:themeColor="accent1"/>
          <w:bdr w:val="none" w:sz="0" w:space="0" w:color="auto" w:frame="1"/>
        </w:rPr>
        <w:t>:</w:t>
      </w:r>
    </w:p>
    <w:p w14:paraId="05756208" w14:textId="4ACF648B" w:rsidR="00A30D9F" w:rsidRPr="00453A41" w:rsidRDefault="00A30D9F" w:rsidP="002D0E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72C4" w:themeColor="accent1"/>
          <w:sz w:val="16"/>
          <w:szCs w:val="16"/>
        </w:rPr>
      </w:pP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আব্দুল আযিয বিন আব্দুল্লাহ বিন মুহাম্মাদ আলে শেখ</w:t>
      </w:r>
    </w:p>
    <w:p w14:paraId="033E8003" w14:textId="77777777" w:rsidR="00A30D9F" w:rsidRPr="00453A41" w:rsidRDefault="00A30D9F" w:rsidP="002D0E01">
      <w:pPr>
        <w:shd w:val="clear" w:color="auto" w:fill="FFFFFF"/>
        <w:spacing w:after="0" w:line="240" w:lineRule="auto"/>
        <w:ind w:left="30" w:right="30"/>
        <w:jc w:val="center"/>
        <w:rPr>
          <w:rFonts w:ascii="Helvetica" w:eastAsia="Times New Roman" w:hAnsi="Helvetica" w:cs="Helvetica"/>
          <w:b/>
          <w:bCs/>
          <w:color w:val="4472C4" w:themeColor="accent1"/>
          <w:sz w:val="16"/>
          <w:szCs w:val="16"/>
        </w:rPr>
      </w:pPr>
      <w:r w:rsidRPr="00453A41">
        <w:rPr>
          <w:rFonts w:ascii="Helvetica" w:eastAsia="Times New Roman" w:hAnsi="Helvetica" w:cs="Vrinda" w:hint="cs"/>
          <w:b/>
          <w:bCs/>
          <w:color w:val="4472C4" w:themeColor="accent1"/>
          <w:bdr w:val="none" w:sz="0" w:space="0" w:color="auto" w:frame="1"/>
          <w:cs/>
          <w:lang w:bidi="bn-IN"/>
        </w:rPr>
        <w:t>২.</w:t>
      </w: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সদস্য: সালেহ বিন ফাওজান আল</w:t>
      </w:r>
      <w:r w:rsidRPr="00453A41">
        <w:rPr>
          <w:rFonts w:ascii="Helvetica" w:eastAsia="Times New Roman" w:hAnsi="Helvetica" w:cs="Vrinda" w:hint="cs"/>
          <w:b/>
          <w:bCs/>
          <w:color w:val="4472C4" w:themeColor="accent1"/>
          <w:bdr w:val="none" w:sz="0" w:space="0" w:color="auto" w:frame="1"/>
          <w:cs/>
          <w:lang w:bidi="bn-IN"/>
        </w:rPr>
        <w:t>-</w:t>
      </w: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ফাওজান</w:t>
      </w:r>
    </w:p>
    <w:p w14:paraId="0FC1A1EC" w14:textId="2DCAEF8E" w:rsidR="00A30D9F" w:rsidRPr="00453A41" w:rsidRDefault="00A30D9F" w:rsidP="002D0E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72C4" w:themeColor="accent1"/>
          <w:sz w:val="16"/>
          <w:szCs w:val="16"/>
        </w:rPr>
      </w:pP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সদস্য:</w:t>
      </w:r>
      <w:r w:rsidRPr="00453A41">
        <w:rPr>
          <w:rFonts w:ascii="Helvetica" w:eastAsia="Times New Roman" w:hAnsi="Helvetica" w:cs="Helvetica" w:hint="cs"/>
          <w:b/>
          <w:bCs/>
          <w:color w:val="4472C4" w:themeColor="accent1"/>
          <w:bdr w:val="none" w:sz="0" w:space="0" w:color="auto" w:frame="1"/>
          <w:lang w:bidi="bn-IN"/>
        </w:rPr>
        <w:t> </w:t>
      </w: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আব্দুল্লাহ বিন আব্দুর রহমান আল-গদইয়ান</w:t>
      </w:r>
    </w:p>
    <w:p w14:paraId="3C147FDB" w14:textId="1A4D7541" w:rsidR="00FB4D51" w:rsidRPr="00453A41" w:rsidRDefault="00A30D9F" w:rsidP="00453A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D3E5F"/>
          <w:sz w:val="16"/>
          <w:szCs w:val="16"/>
        </w:rPr>
      </w:pPr>
      <w:r w:rsidRPr="00453A41">
        <w:rPr>
          <w:rFonts w:ascii="Helvetica" w:eastAsia="Times New Roman" w:hAnsi="Helvetica" w:cs="Vrinda" w:hint="cs"/>
          <w:b/>
          <w:bCs/>
          <w:color w:val="4472C4" w:themeColor="accent1"/>
          <w:bdr w:val="none" w:sz="0" w:space="0" w:color="auto" w:frame="1"/>
          <w:cs/>
          <w:lang w:bidi="bn-IN"/>
        </w:rPr>
        <w:t>৪.</w:t>
      </w:r>
      <w:r w:rsidRPr="00453A41">
        <w:rPr>
          <w:rFonts w:ascii="Helvetica" w:eastAsia="Times New Roman" w:hAnsi="Helvetica" w:cs="Helvetica" w:hint="cs"/>
          <w:b/>
          <w:bCs/>
          <w:color w:val="4472C4" w:themeColor="accent1"/>
          <w:bdr w:val="none" w:sz="0" w:space="0" w:color="auto" w:frame="1"/>
          <w:lang w:bidi="bn-IN"/>
        </w:rPr>
        <w:t> </w:t>
      </w: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সদস্য:</w:t>
      </w:r>
      <w:r w:rsidRPr="00453A41">
        <w:rPr>
          <w:rFonts w:ascii="Helvetica" w:eastAsia="Times New Roman" w:hAnsi="Helvetica" w:cs="Helvetica" w:hint="cs"/>
          <w:b/>
          <w:bCs/>
          <w:color w:val="4472C4" w:themeColor="accent1"/>
          <w:bdr w:val="none" w:sz="0" w:space="0" w:color="auto" w:frame="1"/>
          <w:lang w:bidi="bn-IN"/>
        </w:rPr>
        <w:t> </w:t>
      </w:r>
      <w:r w:rsidRPr="00453A41">
        <w:rPr>
          <w:rFonts w:ascii="Helvetica" w:eastAsia="Times New Roman" w:hAnsi="Helvetica" w:cs="Vrinda"/>
          <w:b/>
          <w:bCs/>
          <w:color w:val="4472C4" w:themeColor="accent1"/>
          <w:bdr w:val="none" w:sz="0" w:space="0" w:color="auto" w:frame="1"/>
          <w:cs/>
          <w:lang w:bidi="bn-IN"/>
        </w:rPr>
        <w:t>বকর বিন আব্দুল্লাহ আবু জায়েদ</w:t>
      </w:r>
      <w:bookmarkStart w:id="0" w:name="_GoBack"/>
      <w:bookmarkEnd w:id="0"/>
    </w:p>
    <w:sectPr w:rsidR="00FB4D51" w:rsidRPr="0045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0"/>
    <w:rsid w:val="002D0E01"/>
    <w:rsid w:val="00453A41"/>
    <w:rsid w:val="00746D24"/>
    <w:rsid w:val="00784F00"/>
    <w:rsid w:val="00A30D9F"/>
    <w:rsid w:val="00DD03A8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D382"/>
  <w15:chartTrackingRefBased/>
  <w15:docId w15:val="{1EC93132-9810-4AFD-B6E2-7CEFEAC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0D9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394</Words>
  <Characters>1935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2315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ভালবাসা দিবস সম্পর্কে সৌদি আরবের সর্বোচ্চ ওলামা পরিষদের ফতোয়া</dc:title>
  <dc:subject>ভালবাসা দিবস সম্পর্কে সৌদি আরবের সর্বোচ্চ ওলামা পরিষদের ফতোয়া</dc:subject>
  <dc:creator>Elhashemy</dc:creator>
  <cp:keywords>ভালবাসা দিবস সম্পর্কে সৌদি আরবের সর্বোচ্চ ওলামা পরিষদের ফতোয়া</cp:keywords>
  <dc:description>ভালবাসা দিবস সম্পর্কে সৌদি আরবের সর্বোচ্চ ওলামা পরিষদের ফতোয়া</dc:description>
  <cp:lastModifiedBy>Elhashemy</cp:lastModifiedBy>
  <cp:revision>6</cp:revision>
  <cp:lastPrinted>2020-01-02T12:16:00Z</cp:lastPrinted>
  <dcterms:created xsi:type="dcterms:W3CDTF">2020-01-02T12:11:00Z</dcterms:created>
  <dcterms:modified xsi:type="dcterms:W3CDTF">2020-01-02T12:25:00Z</dcterms:modified>
  <cp:category/>
</cp:coreProperties>
</file>