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03" w:rsidRPr="00F47341" w:rsidRDefault="008B3703" w:rsidP="008B3703">
      <w:pPr>
        <w:bidi w:val="0"/>
        <w:jc w:val="center"/>
        <w:rPr>
          <w:rFonts w:asciiTheme="majorBidi" w:hAnsiTheme="majorBidi" w:cs="Kalpurush"/>
          <w:sz w:val="72"/>
          <w:szCs w:val="91"/>
          <w:cs/>
          <w:lang w:bidi="bn-BD"/>
        </w:rPr>
      </w:pPr>
    </w:p>
    <w:p w:rsidR="00A03054" w:rsidRPr="008378B2" w:rsidRDefault="00A377FC" w:rsidP="00A377FC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A377FC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বিলাপ</w:t>
      </w:r>
      <w:r w:rsidRPr="00A377FC">
        <w:rPr>
          <w:rFonts w:ascii="Kalpurush" w:hAnsi="Kalpurush" w:cs="Kalpurush"/>
          <w:color w:val="205B83"/>
          <w:sz w:val="72"/>
          <w:szCs w:val="72"/>
          <w:cs/>
          <w:lang w:bidi="bn-BD"/>
        </w:rPr>
        <w:t>-</w:t>
      </w:r>
      <w:r w:rsidRPr="00A377FC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মাতম</w:t>
      </w:r>
      <w:r w:rsidRPr="00A377FC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A377FC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ও</w:t>
      </w:r>
      <w:r w:rsidRPr="00A377FC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A377FC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কবর</w:t>
      </w:r>
      <w:r w:rsidRPr="00A377FC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যি</w:t>
      </w:r>
      <w:r w:rsidRPr="00A377FC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য়ারত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bn-BD"/>
        </w:rPr>
      </w:pPr>
    </w:p>
    <w:p w:rsidR="00A03054" w:rsidRPr="00E96A90" w:rsidRDefault="00A377FC" w:rsidP="00A377F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A377FC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النياحة</w:t>
      </w:r>
      <w:r w:rsidRPr="00A377FC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A377FC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وزيارة</w:t>
      </w:r>
      <w:r w:rsidRPr="00A377FC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A377FC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القبور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952332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Theme="majorBidi" w:hAnsiTheme="majorBidi" w:cs="Vrinda"/>
          <w:color w:val="808080" w:themeColor="background1" w:themeShade="80"/>
          <w:sz w:val="28"/>
          <w:szCs w:val="28"/>
          <w:cs/>
          <w:lang w:bidi="bn-IN"/>
        </w:rPr>
        <w:t>বাংলা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 - بنغالي - </w:t>
      </w:r>
      <w:r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Bengali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A377FC" w:rsidP="00A377FC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A377FC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আব্দুল</w:t>
      </w:r>
      <w:r w:rsidRPr="00A377FC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A377FC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আযীয</w:t>
      </w:r>
      <w:r w:rsidRPr="00A377FC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ইব</w:t>
      </w:r>
      <w:r w:rsidRPr="00A377FC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ন</w:t>
      </w:r>
      <w:r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 xml:space="preserve"> আব্দুল্লাহ ইবন</w:t>
      </w:r>
      <w:r w:rsidRPr="00A377FC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A377FC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বায</w:t>
      </w:r>
      <w:r w:rsidRPr="00A377FC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র</w:t>
      </w:r>
      <w:r w:rsidRPr="00A377FC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হ</w:t>
      </w:r>
      <w:r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.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F47341" w:rsidRDefault="00A377FC" w:rsidP="00A377FC">
      <w:pPr>
        <w:spacing w:after="0" w:line="240" w:lineRule="auto"/>
        <w:ind w:firstLine="113"/>
        <w:jc w:val="center"/>
        <w:rPr>
          <w:rFonts w:asciiTheme="majorBidi" w:hAnsiTheme="majorBidi" w:cs="Kalpurush"/>
          <w:sz w:val="36"/>
          <w:szCs w:val="45"/>
          <w:cs/>
          <w:lang w:bidi="bn-BD"/>
        </w:rPr>
      </w:pPr>
      <w:r w:rsidRPr="00A377FC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عبد</w:t>
      </w:r>
      <w:r w:rsidRPr="00A377FC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A377FC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العزيز</w:t>
      </w:r>
      <w:r w:rsidRPr="00A377FC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A377FC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A377FC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="KFGQPC Uthman Taha Naskh" w:hint="cs"/>
          <w:sz w:val="36"/>
          <w:szCs w:val="36"/>
          <w:rtl/>
          <w:lang w:bidi="ar-EG"/>
        </w:rPr>
        <w:t xml:space="preserve">عبد الله بن </w:t>
      </w:r>
      <w:r w:rsidRPr="00A377FC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باز</w:t>
      </w:r>
      <w:r w:rsidRPr="00A377FC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A377FC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رحمه</w:t>
      </w:r>
      <w:r w:rsidRPr="00A377FC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A377FC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الله</w:t>
      </w:r>
      <w:r w:rsidRPr="00A377FC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8378B2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অনুবাদক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A377FC" w:rsidRPr="00F47341">
        <w:rPr>
          <w:rFonts w:cs="Kalpurush" w:hint="cs"/>
          <w:cs/>
          <w:lang w:bidi="bn-IN"/>
        </w:rPr>
        <w:t xml:space="preserve"> </w:t>
      </w:r>
      <w:r w:rsidR="00A377FC" w:rsidRPr="00A377FC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সানাউল্লাহ</w:t>
      </w:r>
      <w:r w:rsidR="00A377FC" w:rsidRPr="00A377FC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A377FC" w:rsidRPr="00A377FC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নজির</w:t>
      </w:r>
      <w:r w:rsidR="00A377FC" w:rsidRPr="00A377FC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A377FC" w:rsidRPr="00A377FC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আহমদ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F47341">
        <w:rPr>
          <w:rFonts w:cs="Kalpurush" w:hint="cs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F47341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alpurush"/>
          <w:sz w:val="32"/>
          <w:szCs w:val="40"/>
          <w:rtl/>
          <w:cs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A377FC" w:rsidRPr="00A377FC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ثناء</w:t>
      </w:r>
      <w:r w:rsidR="00A377FC" w:rsidRPr="00A377FC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A377FC" w:rsidRPr="00A377FC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الله</w:t>
      </w:r>
      <w:r w:rsidR="00A377FC" w:rsidRPr="00A377FC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A377FC" w:rsidRPr="00A377FC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نذير</w:t>
      </w:r>
      <w:r w:rsidR="00A377FC" w:rsidRPr="00A377FC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A377FC" w:rsidRPr="00A377FC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أحمد</w:t>
      </w:r>
    </w:p>
    <w:p w:rsidR="008B3703" w:rsidRPr="005A6FD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A377FC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09CED0F9" wp14:editId="5E338C10">
            <wp:simplePos x="0" y="0"/>
            <wp:positionH relativeFrom="margin">
              <wp:posOffset>1252997</wp:posOffset>
            </wp:positionH>
            <wp:positionV relativeFrom="paragraph">
              <wp:posOffset>91611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7FC" w:rsidRPr="00A377FC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বিলাপ</w:t>
      </w:r>
      <w:r w:rsidR="00A377FC" w:rsidRPr="00A377FC">
        <w:rPr>
          <w:rFonts w:ascii="Kalpurush" w:hAnsi="Kalpurush" w:cs="Kalpurush"/>
          <w:color w:val="205B83"/>
          <w:sz w:val="32"/>
          <w:szCs w:val="32"/>
          <w:cs/>
          <w:lang w:bidi="bn-BD"/>
        </w:rPr>
        <w:t>-</w:t>
      </w:r>
      <w:r w:rsidR="00A377FC" w:rsidRPr="00A377FC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মাতম</w:t>
      </w:r>
      <w:r w:rsidR="00A377FC" w:rsidRPr="00A377FC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A377FC" w:rsidRPr="00A377FC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ও</w:t>
      </w:r>
      <w:r w:rsidR="00A377FC" w:rsidRPr="00A377FC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A377FC" w:rsidRPr="00A377FC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কবর</w:t>
      </w:r>
      <w:r w:rsidR="00A377FC" w:rsidRPr="00A377FC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A377FC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যি</w:t>
      </w:r>
      <w:r w:rsidR="00A377FC" w:rsidRPr="00A377FC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য়ারত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377FC" w:rsidRPr="00A377FC" w:rsidRDefault="00A377FC" w:rsidP="00A377FC">
      <w:pPr>
        <w:shd w:val="clear" w:color="auto" w:fill="FFFFFF"/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A377FC">
        <w:rPr>
          <w:rFonts w:ascii="Kalpurush" w:hAnsi="Kalpurush" w:cs="Kalpurush"/>
          <w:b/>
          <w:bCs/>
          <w:sz w:val="24"/>
          <w:szCs w:val="24"/>
          <w:cs/>
          <w:lang w:bidi="bn-BD"/>
        </w:rPr>
        <w:t>প্রশ্ন:</w:t>
      </w:r>
      <w:r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নারীদের জন্য কবর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যিয়ারত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করা কি হারাম, মৃত ব্যক্তি যদিও তাদের আপন কেউ হয়? রাসূলুল্লাহ সাল্লাল্লাহু আলাইহি ওয়াসাল্লাম </w:t>
      </w:r>
      <w:bookmarkStart w:id="0" w:name="_GoBack"/>
      <w:bookmarkEnd w:id="0"/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বলেছেন, </w:t>
      </w:r>
      <w:r w:rsidRPr="00A377FC">
        <w:rPr>
          <w:rFonts w:ascii="Kalpurush" w:hAnsi="Kalpurush" w:cs="KFGQPC Uthman Taha Naskh" w:hint="cs"/>
          <w:color w:val="333399"/>
          <w:sz w:val="24"/>
          <w:szCs w:val="24"/>
          <w:rtl/>
        </w:rPr>
        <w:t>«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لعن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الله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المرأة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النائحة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والمستمعة</w:t>
      </w:r>
      <w:r w:rsidRPr="00A377FC">
        <w:rPr>
          <w:rFonts w:ascii="Kalpurush" w:hAnsi="Kalpurush" w:cs="KFGQPC Uthman Taha Naskh" w:hint="cs"/>
          <w:color w:val="333399"/>
          <w:sz w:val="24"/>
          <w:szCs w:val="24"/>
          <w:rtl/>
        </w:rPr>
        <w:t>»</w:t>
      </w:r>
      <w:r w:rsidRPr="00A377FC">
        <w:rPr>
          <w:rFonts w:ascii="Kalpurush" w:hAnsi="Kalpurush" w:cs="Kalpurush"/>
          <w:color w:val="333399"/>
          <w:sz w:val="24"/>
          <w:szCs w:val="24"/>
          <w:cs/>
          <w:lang w:bidi="bn-BD"/>
        </w:rPr>
        <w:t xml:space="preserve">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এ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হাদীসে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A377FC">
        <w:rPr>
          <w:rFonts w:ascii="Times New Roman" w:hAnsi="Times New Roman" w:cs="KFGQPC Uthman Taha Naskh" w:hint="cs"/>
          <w:sz w:val="24"/>
          <w:szCs w:val="24"/>
          <w:rtl/>
        </w:rPr>
        <w:t>المستمعة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শব্দের অর্থ </w:t>
      </w:r>
      <w:r>
        <w:rPr>
          <w:rFonts w:ascii="Kalpurush" w:hAnsi="Kalpurush" w:cs="Kalpurush"/>
          <w:sz w:val="24"/>
          <w:szCs w:val="24"/>
          <w:cs/>
          <w:lang w:bidi="bn-BD"/>
        </w:rPr>
        <w:t>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? এর দ্বারা কি সে নারী উদ্দেশ্য, যে ইনিয়ে</w:t>
      </w:r>
      <w:r w:rsidRPr="00A377FC">
        <w:rPr>
          <w:rFonts w:ascii="Kalpurush" w:hAnsi="Kalpurush" w:cs="Kalpurush"/>
          <w:sz w:val="24"/>
          <w:szCs w:val="24"/>
          <w:lang w:bidi="bn-BD"/>
        </w:rPr>
        <w:t>-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বিনিয়ে মানুষের কথা নকল করে অথবা সে </w:t>
      </w:r>
      <w:r w:rsidR="00F60EBD">
        <w:rPr>
          <w:rFonts w:ascii="Kalpurush" w:hAnsi="Kalpurush" w:cs="Kalpurush"/>
          <w:sz w:val="24"/>
          <w:szCs w:val="24"/>
          <w:cs/>
          <w:lang w:bidi="bn-BD"/>
        </w:rPr>
        <w:t>নারী উদ্দেশ্য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যে গান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বাজনা শ্রবণ করে অথবা সে নারী উদ্দেশ্য, যে টেলিভিশন দেখে ও রেডিও শোনে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আশা করি এর ব্যাখ্যা দেবেন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আল্লাহ আপনাদের উত্তম বিনিময় দান করুন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</w:p>
    <w:p w:rsidR="00A377FC" w:rsidRPr="00A377FC" w:rsidRDefault="00A377FC" w:rsidP="00A377FC">
      <w:pPr>
        <w:shd w:val="clear" w:color="auto" w:fill="FFFFFF"/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A377FC">
        <w:rPr>
          <w:rFonts w:ascii="Kalpurush" w:hAnsi="Kalpurush" w:cs="Kalpurush"/>
          <w:b/>
          <w:bCs/>
          <w:sz w:val="24"/>
          <w:szCs w:val="24"/>
          <w:cs/>
          <w:lang w:bidi="bn-BD"/>
        </w:rPr>
        <w:t>উত্তর:</w:t>
      </w:r>
      <w:r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আল-হামদুলিল্লাহ</w:t>
      </w:r>
    </w:p>
    <w:p w:rsidR="00A377FC" w:rsidRPr="00A377FC" w:rsidRDefault="00A377FC" w:rsidP="00A377FC">
      <w:pPr>
        <w:shd w:val="clear" w:color="auto" w:fill="FFFFFF"/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A377FC">
        <w:rPr>
          <w:rFonts w:ascii="Kalpurush" w:hAnsi="Kalpurush" w:cs="Kalpurush"/>
          <w:sz w:val="24"/>
          <w:szCs w:val="24"/>
          <w:cs/>
          <w:lang w:bidi="bn-BD"/>
        </w:rPr>
        <w:t>নারীদের জন্য কবর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যিয়ারত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করা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জায়েয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েই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নবী সাল্লাল্লাহু আলাইহি ওয়াসাল্লাম বলেছেন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</w:p>
    <w:p w:rsidR="00A377FC" w:rsidRPr="00A377FC" w:rsidRDefault="00A377FC" w:rsidP="00A377FC">
      <w:pPr>
        <w:shd w:val="clear" w:color="auto" w:fill="FFFFFF"/>
        <w:spacing w:after="0"/>
        <w:jc w:val="both"/>
        <w:rPr>
          <w:rFonts w:ascii="Kalpurush" w:hAnsi="Kalpurush" w:cs="KFGQPC Uthman Taha Naskh"/>
          <w:color w:val="333399"/>
          <w:sz w:val="24"/>
          <w:szCs w:val="24"/>
          <w:lang w:bidi="bn-BD"/>
        </w:rPr>
      </w:pPr>
      <w:r w:rsidRPr="00A377FC">
        <w:rPr>
          <w:rFonts w:ascii="Kalpurush" w:hAnsi="Kalpurush" w:cs="KFGQPC Uthman Taha Naskh" w:hint="cs"/>
          <w:color w:val="333399"/>
          <w:sz w:val="24"/>
          <w:szCs w:val="24"/>
          <w:rtl/>
        </w:rPr>
        <w:t>«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زُورُوا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الْقُبُورَ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فَإِنَّهَا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تُذَكِّرُكُمْ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الْآخِرَةَ</w:t>
      </w:r>
      <w:r w:rsidRPr="00A377FC">
        <w:rPr>
          <w:rFonts w:ascii="Kalpurush" w:hAnsi="Kalpurush" w:cs="KFGQPC Uthman Taha Naskh" w:hint="cs"/>
          <w:color w:val="333399"/>
          <w:sz w:val="24"/>
          <w:szCs w:val="24"/>
          <w:rtl/>
        </w:rPr>
        <w:t>»</w:t>
      </w:r>
    </w:p>
    <w:p w:rsidR="00A377FC" w:rsidRPr="00A377FC" w:rsidRDefault="00A377FC" w:rsidP="00A377FC">
      <w:pPr>
        <w:shd w:val="clear" w:color="auto" w:fill="FFFFFF"/>
        <w:bidi w:val="0"/>
        <w:spacing w:after="0"/>
        <w:jc w:val="both"/>
        <w:rPr>
          <w:rFonts w:ascii="Kalpurush" w:hAnsi="Kalpurush" w:cs="Kalpurush"/>
          <w:sz w:val="24"/>
          <w:szCs w:val="24"/>
          <w:lang w:bidi="hi-IN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তোমরা কবর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যিয়ারত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কর</w:t>
      </w:r>
      <w:r w:rsidRPr="00F47341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কারণ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তা তোমাদের আখেরাত স্মরণ করিয়ে দেয়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</w:p>
    <w:p w:rsidR="00A377FC" w:rsidRPr="00A377FC" w:rsidRDefault="00A377FC" w:rsidP="00F60EBD">
      <w:pPr>
        <w:shd w:val="clear" w:color="auto" w:fill="FFFFFF"/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A377FC">
        <w:rPr>
          <w:rFonts w:ascii="Kalpurush" w:hAnsi="Kalpurush" w:cs="Kalpurush"/>
          <w:sz w:val="24"/>
          <w:szCs w:val="24"/>
          <w:cs/>
          <w:lang w:bidi="bn-BD"/>
        </w:rPr>
        <w:t>এ</w:t>
      </w:r>
      <w:r w:rsidR="00F60EBD">
        <w:rPr>
          <w:rFonts w:ascii="Kalpurush" w:hAnsi="Kalpurush" w:cs="Kalpurush" w:hint="cs"/>
          <w:sz w:val="24"/>
          <w:szCs w:val="24"/>
          <w:cs/>
          <w:lang w:bidi="bn-BD"/>
        </w:rPr>
        <w:t xml:space="preserve"> হাদীসের ভাষ্য দ্বারা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উদ্দেশ্য পুরুষ</w:t>
      </w:r>
      <w:r w:rsidR="00F60EBD">
        <w:rPr>
          <w:rFonts w:ascii="Kalpurush" w:hAnsi="Kalpurush" w:cs="Kalpurush" w:hint="cs"/>
          <w:sz w:val="24"/>
          <w:szCs w:val="24"/>
          <w:cs/>
          <w:lang w:bidi="bn-BD"/>
        </w:rPr>
        <w:t>গণ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তিনি </w:t>
      </w:r>
      <w:r>
        <w:rPr>
          <w:rFonts w:ascii="Kalpurush" w:hAnsi="Kalpurush" w:cs="Kalpurush"/>
          <w:sz w:val="24"/>
          <w:szCs w:val="24"/>
          <w:cs/>
          <w:lang w:bidi="bn-BD"/>
        </w:rPr>
        <w:t>সাহাব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ীগণকে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শিক্ষা দিতেন, যেন তারা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যি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য়ারতের সময় বলে:</w:t>
      </w:r>
    </w:p>
    <w:p w:rsidR="00A377FC" w:rsidRPr="00A377FC" w:rsidRDefault="00A377FC" w:rsidP="00A377FC">
      <w:pPr>
        <w:shd w:val="clear" w:color="auto" w:fill="FFFFFF"/>
        <w:spacing w:after="0"/>
        <w:jc w:val="both"/>
        <w:rPr>
          <w:rFonts w:ascii="Kalpurush" w:hAnsi="Kalpurush" w:cs="KFGQPC Uthman Taha Naskh"/>
          <w:color w:val="333399"/>
          <w:sz w:val="24"/>
          <w:szCs w:val="24"/>
          <w:lang w:bidi="bn-BD"/>
        </w:rPr>
      </w:pPr>
      <w:r w:rsidRPr="00A377FC">
        <w:rPr>
          <w:rFonts w:ascii="Kalpurush" w:hAnsi="Kalpurush" w:cs="KFGQPC Uthman Taha Naskh" w:hint="cs"/>
          <w:color w:val="333399"/>
          <w:sz w:val="24"/>
          <w:szCs w:val="24"/>
          <w:rtl/>
        </w:rPr>
        <w:t>«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السَّلَامُ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عَلَيْكُمْ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أَهْلَ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الدِّيَارِ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مِنْ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الْمُؤْمِنِينَ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وَالْمُسْلِمِينَ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وَإِنَّا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إِنْ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شَاءَ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اللَّهُ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بِكُمْ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لَاحِقُونَ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.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نَسْأَلُ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اللَّهَ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لَنَا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وَلَكُمْ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الْعَافِيَةَ</w:t>
      </w:r>
      <w:r w:rsidRPr="00A377FC">
        <w:rPr>
          <w:rFonts w:ascii="Kalpurush" w:hAnsi="Kalpurush" w:cs="KFGQPC Uthman Taha Naskh" w:hint="cs"/>
          <w:color w:val="333399"/>
          <w:sz w:val="24"/>
          <w:szCs w:val="24"/>
          <w:rtl/>
        </w:rPr>
        <w:t>»</w:t>
      </w:r>
    </w:p>
    <w:p w:rsidR="00A377FC" w:rsidRPr="00A377FC" w:rsidRDefault="00A377FC" w:rsidP="00A377FC">
      <w:pPr>
        <w:shd w:val="clear" w:color="auto" w:fill="FFFFFF"/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আয়েশা 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আনহ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থেকে বর্ণিত </w:t>
      </w:r>
      <w:r>
        <w:rPr>
          <w:rFonts w:ascii="Kalpurush" w:hAnsi="Kalpurush" w:cs="Kalpurush"/>
          <w:sz w:val="24"/>
          <w:szCs w:val="24"/>
          <w:cs/>
          <w:lang w:bidi="bn-BD"/>
        </w:rPr>
        <w:t>হাদ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সে রয়েছে:</w:t>
      </w:r>
    </w:p>
    <w:p w:rsidR="00A377FC" w:rsidRPr="00A377FC" w:rsidRDefault="00A377FC" w:rsidP="00A377FC">
      <w:pPr>
        <w:shd w:val="clear" w:color="auto" w:fill="FFFFFF"/>
        <w:spacing w:after="0"/>
        <w:jc w:val="both"/>
        <w:rPr>
          <w:rFonts w:ascii="Kalpurush" w:hAnsi="Kalpurush" w:cs="KFGQPC Uthman Taha Naskh"/>
          <w:color w:val="333399"/>
          <w:sz w:val="24"/>
          <w:szCs w:val="24"/>
          <w:lang w:bidi="bn-BD"/>
        </w:rPr>
      </w:pPr>
      <w:r w:rsidRPr="00A377FC">
        <w:rPr>
          <w:rFonts w:ascii="Kalpurush" w:hAnsi="Kalpurush" w:cs="KFGQPC Uthman Taha Naskh" w:hint="cs"/>
          <w:color w:val="333399"/>
          <w:sz w:val="24"/>
          <w:szCs w:val="24"/>
          <w:rtl/>
        </w:rPr>
        <w:t>«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يَرْحَمُ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اللَّهُ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الْمُسْتَقْدِمِينَ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مِنَّا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وَالْمُسْتَأْخِرِينَ</w:t>
      </w:r>
      <w:r w:rsidRPr="00A377FC">
        <w:rPr>
          <w:rFonts w:ascii="Kalpurush" w:hAnsi="Kalpurush" w:cs="KFGQPC Uthman Taha Naskh" w:hint="cs"/>
          <w:color w:val="333399"/>
          <w:sz w:val="24"/>
          <w:szCs w:val="24"/>
          <w:rtl/>
        </w:rPr>
        <w:t>»</w:t>
      </w:r>
    </w:p>
    <w:p w:rsidR="00A377FC" w:rsidRPr="00A377FC" w:rsidRDefault="00A377FC" w:rsidP="00A377FC">
      <w:pPr>
        <w:shd w:val="clear" w:color="auto" w:fill="FFFFFF"/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A377FC">
        <w:rPr>
          <w:rFonts w:ascii="Kalpurush" w:hAnsi="Kalpurush" w:cs="Kalpurush"/>
          <w:sz w:val="24"/>
          <w:szCs w:val="24"/>
          <w:cs/>
          <w:lang w:bidi="bn-BD"/>
        </w:rPr>
        <w:t>নারীদেরকে কবর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যিয়ারত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থেকে তিনি নিষেধ করেছেন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হাদীসে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এসেছে, রাসূলূল্লাহ স</w:t>
      </w:r>
      <w:r w:rsidR="00F60EBD">
        <w:rPr>
          <w:rFonts w:ascii="Kalpurush" w:hAnsi="Kalpurush" w:cs="Kalpurush"/>
          <w:sz w:val="24"/>
          <w:szCs w:val="24"/>
          <w:cs/>
          <w:lang w:bidi="bn-BD"/>
        </w:rPr>
        <w:t>াল্লাল্লাহু আলাইহি ওয়াসাল্লাম ক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ব</w:t>
      </w:r>
      <w:r w:rsidR="00F60EBD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যি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য়ারতকারী নারীদের অভিসম্পাত করেছেন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অতএব, তাদের জন্য কবর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যিয়ারত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করা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জায়েয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েই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তবে তাদের জন্য বৈধ রয়েছে,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যিয়ারত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করা ব্যতীত ঘরে বসে মৃত ব্যক্তিদের </w:t>
      </w:r>
      <w:r>
        <w:rPr>
          <w:rFonts w:ascii="Kalpurush" w:hAnsi="Kalpurush" w:cs="Kalpurush"/>
          <w:sz w:val="24"/>
          <w:szCs w:val="24"/>
          <w:cs/>
          <w:lang w:bidi="bn-BD"/>
        </w:rPr>
        <w:t>মাগফ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রাতের দো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করা, রহমতের দো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করা, জান্নাতে প্রবেশ ও জাহান্নাম থেকে মুক্তির জন্য দো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করা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অনুরূপ মসজিদে অথবা ঈদগাহে জানাযার সালাত পড়তে তাদের কোন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বাধা নেই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রাসূলুল্লাহ সাল্লাল্লাহু আলাইহি ওয়াসাল্লাম ও </w:t>
      </w:r>
      <w:r>
        <w:rPr>
          <w:rFonts w:ascii="Kalpurush" w:hAnsi="Kalpurush" w:cs="Kalpurush"/>
          <w:sz w:val="24"/>
          <w:szCs w:val="24"/>
          <w:cs/>
          <w:lang w:bidi="bn-BD"/>
        </w:rPr>
        <w:t>সাহাব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ীগণের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যুগে যেরূপভাবে নারীরা জানাযার সালাত পড়েছে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</w:p>
    <w:p w:rsidR="00A377FC" w:rsidRPr="00A377FC" w:rsidRDefault="00A377FC" w:rsidP="00A377FC">
      <w:pPr>
        <w:shd w:val="clear" w:color="auto" w:fill="FFFFFF"/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A377FC">
        <w:rPr>
          <w:rFonts w:ascii="Kalpurush" w:hAnsi="Kalpurush" w:cs="Kalpurush"/>
          <w:sz w:val="24"/>
          <w:szCs w:val="24"/>
          <w:cs/>
          <w:lang w:bidi="bn-BD"/>
        </w:rPr>
        <w:t>বাকি রইল, মাতমকারী নারী ও তা শ্রবণকারী নারী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রাসূলুল্লাহ সাল্লাল্লাহু আলাইহি ওয়াসাল্লাম মাতম থেকে নিষেধ করেছেন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তিনি বলেন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.</w:t>
      </w:r>
    </w:p>
    <w:p w:rsidR="00A377FC" w:rsidRPr="00F47341" w:rsidRDefault="00A377FC" w:rsidP="00A377FC">
      <w:pPr>
        <w:shd w:val="clear" w:color="auto" w:fill="FFFFFF"/>
        <w:spacing w:after="0"/>
        <w:jc w:val="both"/>
        <w:rPr>
          <w:rFonts w:ascii="Kalpurush" w:hAnsi="Kalpurush" w:cs="Kalpurush"/>
          <w:color w:val="333399"/>
          <w:sz w:val="24"/>
          <w:szCs w:val="30"/>
          <w:lang w:bidi="bn-BD"/>
        </w:rPr>
      </w:pPr>
      <w:r w:rsidRPr="00A377FC">
        <w:rPr>
          <w:rFonts w:ascii="Kalpurush" w:hAnsi="Kalpurush" w:cs="KFGQPC Uthman Taha Naskh" w:hint="cs"/>
          <w:color w:val="333399"/>
          <w:sz w:val="24"/>
          <w:szCs w:val="24"/>
          <w:rtl/>
        </w:rPr>
        <w:t>«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أَرْبَعٌ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فِي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أُمَّتِي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مِنْ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أَمْرِ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الْجَاهِلِيَّةِ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لَا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يَتْرُكُونَهُنَّ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: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الْفَخْرُ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بِالْأَحْسَابِ،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وَالطَّعْنُ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فِي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الْأَنْسَابِ،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وَالْاسْتِسْقَاءُ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بِالنُّجُومِ،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وَالنِّيَاحَةُ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عَلَى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الْمَيِّتِ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>.</w:t>
      </w:r>
      <w:r w:rsidRPr="00A377FC">
        <w:rPr>
          <w:rFonts w:ascii="Kalpurush" w:hAnsi="Kalpurush" w:cs="KFGQPC Uthman Taha Naskh"/>
          <w:color w:val="333399"/>
          <w:sz w:val="24"/>
          <w:szCs w:val="24"/>
          <w:cs/>
          <w:lang w:bidi="bn-BD"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وَقَالَ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: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النَّائِحَةُ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إِذَا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لَمْ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تَتُبْ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قَبْلَ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مَوْتِهَا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تُقَامُ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يَوْمَ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الْقِيَامَةِ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وَعَلَيْهَا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سِرْبَالٌ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مِنْ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قَطِرَانٍ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وَدِرْعٌ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مِنْ</w:t>
      </w:r>
      <w:r w:rsidRPr="00A377FC">
        <w:rPr>
          <w:rFonts w:ascii="Kalpurush" w:hAnsi="Kalpurush" w:cs="KFGQPC Uthman Taha Naskh"/>
          <w:color w:val="333399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color w:val="333399"/>
          <w:sz w:val="24"/>
          <w:szCs w:val="24"/>
          <w:rtl/>
        </w:rPr>
        <w:t>جَرَبٍ</w:t>
      </w:r>
      <w:r w:rsidRPr="00A377FC">
        <w:rPr>
          <w:rFonts w:ascii="Kalpurush" w:hAnsi="Kalpurush" w:cs="KFGQPC Uthman Taha Naskh" w:hint="cs"/>
          <w:color w:val="333399"/>
          <w:sz w:val="24"/>
          <w:szCs w:val="24"/>
          <w:rtl/>
        </w:rPr>
        <w:t>»</w:t>
      </w:r>
    </w:p>
    <w:p w:rsidR="00A377FC" w:rsidRDefault="00A377FC" w:rsidP="007A4734">
      <w:pPr>
        <w:shd w:val="clear" w:color="auto" w:fill="FFFFFF"/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আমার উম্মতের মধ্যে জাহেলিয়াতের চারটি স্বভাব রয়েছে, যা তারা পরিত্যাগ করবে না: আভিজাত্য নিয়ে গৌরব করা, বংশের ব্যাপারে তিরষ্কার করা, তারকার মাধ্যমে বৃষ্টি অন্বেষণ করা ও মৃত ব্যক্তিদের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পর বিলাপ করা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377FC">
        <w:rPr>
          <w:rFonts w:ascii="Kalpurush" w:hAnsi="Kalpurush" w:cs="Kalpurush"/>
          <w:sz w:val="24"/>
          <w:szCs w:val="24"/>
          <w:cs/>
          <w:lang w:bidi="bn-IN"/>
        </w:rPr>
        <w:t xml:space="preserve"> বিলাপকারী যদি তাওবা না করে</w:t>
      </w:r>
      <w:r w:rsidRPr="00A377FC">
        <w:rPr>
          <w:rFonts w:ascii="Kalpurush" w:hAnsi="Kalpurush" w:cs="Kalpurush"/>
          <w:sz w:val="24"/>
          <w:szCs w:val="24"/>
          <w:cs/>
          <w:lang w:bidi="hi-IN"/>
        </w:rPr>
        <w:t xml:space="preserve">, </w:t>
      </w:r>
      <w:r w:rsidRPr="00A377FC">
        <w:rPr>
          <w:rFonts w:ascii="Kalpurush" w:hAnsi="Kalpurush" w:cs="Kalpurush"/>
          <w:sz w:val="24"/>
          <w:szCs w:val="24"/>
          <w:cs/>
          <w:lang w:bidi="bn-IN"/>
        </w:rPr>
        <w:t>তবে কিয়ামতের দিন তাকে যখন উত্থিত করা হবে</w:t>
      </w:r>
      <w:r w:rsidRPr="00A377FC">
        <w:rPr>
          <w:rFonts w:ascii="Kalpurush" w:hAnsi="Kalpurush" w:cs="Kalpurush"/>
          <w:sz w:val="24"/>
          <w:szCs w:val="24"/>
          <w:cs/>
          <w:lang w:bidi="hi-IN"/>
        </w:rPr>
        <w:t xml:space="preserve">, </w:t>
      </w:r>
      <w:r w:rsidRPr="00A377FC">
        <w:rPr>
          <w:rFonts w:ascii="Kalpurush" w:hAnsi="Kalpurush" w:cs="Kalpurush"/>
          <w:sz w:val="24"/>
          <w:szCs w:val="24"/>
          <w:cs/>
          <w:lang w:bidi="bn-IN"/>
        </w:rPr>
        <w:t>তখন তার উপর থাকবে আলকাতরার তৈরি জামা</w:t>
      </w:r>
      <w:r w:rsidR="007A4734">
        <w:rPr>
          <w:rFonts w:ascii="Kalpurush" w:hAnsi="Kalpurush" w:cs="Kalpurush" w:hint="cs"/>
          <w:sz w:val="24"/>
          <w:szCs w:val="24"/>
          <w:cs/>
          <w:lang w:bidi="bn-BD"/>
        </w:rPr>
        <w:t xml:space="preserve"> এবং</w:t>
      </w:r>
      <w:r w:rsidRPr="00A377FC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  <w:r w:rsidRPr="00A377FC">
        <w:rPr>
          <w:rFonts w:ascii="Kalpurush" w:hAnsi="Kalpurush" w:cs="Kalpurush"/>
          <w:sz w:val="24"/>
          <w:szCs w:val="24"/>
          <w:cs/>
          <w:lang w:bidi="bn-IN"/>
        </w:rPr>
        <w:t>খোস</w:t>
      </w:r>
      <w:r w:rsidRPr="00A377FC">
        <w:rPr>
          <w:rFonts w:ascii="Kalpurush" w:hAnsi="Kalpurush" w:cs="Kalpurush"/>
          <w:sz w:val="24"/>
          <w:szCs w:val="24"/>
          <w:cs/>
          <w:lang w:bidi="hi-IN"/>
        </w:rPr>
        <w:t>-</w:t>
      </w:r>
      <w:r w:rsidRPr="00A377FC">
        <w:rPr>
          <w:rFonts w:ascii="Kalpurush" w:hAnsi="Kalpurush" w:cs="Kalpurush"/>
          <w:sz w:val="24"/>
          <w:szCs w:val="24"/>
          <w:cs/>
          <w:lang w:bidi="bn-IN"/>
        </w:rPr>
        <w:t xml:space="preserve">পাঁচড়ার </w:t>
      </w:r>
      <w:r w:rsidR="007A4734">
        <w:rPr>
          <w:rFonts w:ascii="Kalpurush" w:hAnsi="Kalpurush" w:cs="Kalpurush" w:hint="cs"/>
          <w:sz w:val="24"/>
          <w:szCs w:val="24"/>
          <w:cs/>
          <w:lang w:bidi="bn-BD"/>
        </w:rPr>
        <w:t>বর্ম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(সহীহ </w:t>
      </w:r>
      <w:r w:rsidRPr="00A377FC">
        <w:rPr>
          <w:rFonts w:ascii="Kalpurush" w:hAnsi="Kalpurush" w:cs="Kalpurush"/>
          <w:sz w:val="24"/>
          <w:szCs w:val="24"/>
          <w:cs/>
          <w:lang w:bidi="bn-IN"/>
        </w:rPr>
        <w:t>মুসলিম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)</w:t>
      </w:r>
    </w:p>
    <w:p w:rsidR="00A377FC" w:rsidRPr="00A377FC" w:rsidRDefault="00A377FC" w:rsidP="00A377FC">
      <w:pPr>
        <w:shd w:val="clear" w:color="auto" w:fill="FFFFFF"/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A377FC">
        <w:rPr>
          <w:rFonts w:ascii="Kalpurush" w:hAnsi="Kalpurush" w:cs="Kalpurush"/>
          <w:sz w:val="24"/>
          <w:szCs w:val="24"/>
          <w:cs/>
          <w:lang w:bidi="bn-IN"/>
        </w:rPr>
        <w:t>অত্র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হাদীসে</w:t>
      </w:r>
      <w:r w:rsidRPr="00A377FC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রাসূলুল্লাহ সাল্লাল্লাহু আলাইহি ওয়াসাল্লাম বর্ণনা করেছেন যে, মৃত ব্যক্তিদের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পর বিলাপ করা, </w:t>
      </w:r>
      <w:r>
        <w:rPr>
          <w:rFonts w:ascii="Kalpurush" w:hAnsi="Kalpurush" w:cs="Kalpurush"/>
          <w:sz w:val="24"/>
          <w:szCs w:val="24"/>
          <w:cs/>
          <w:lang w:bidi="bn-BD"/>
        </w:rPr>
        <w:t>জাহ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লিয়াতের নিন্দনীয় স্বভাব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অতএব, তা পরিত্যাগ করা ওয়াজিব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উম্মে আতিয়া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আনহ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বলেছেন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lastRenderedPageBreak/>
        <w:t>রাসূলুল্লাহ সাল্লাল্লাহু আলাইহি ওয়াসাল্লাম বায়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আতের সময় আমাদের থেকে অঙ্গিকার নিয়েছেন, যেন আমরা বিলাপ না করি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</w:p>
    <w:p w:rsidR="00A377FC" w:rsidRPr="00A377FC" w:rsidRDefault="00A377FC" w:rsidP="007A4734">
      <w:pPr>
        <w:shd w:val="clear" w:color="auto" w:fill="FFFFFF"/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A377FC">
        <w:rPr>
          <w:rFonts w:ascii="Kalpurush" w:hAnsi="Kalpurush" w:cs="Kalpurush"/>
          <w:sz w:val="24"/>
          <w:szCs w:val="24"/>
          <w:cs/>
          <w:lang w:bidi="bn-BD"/>
        </w:rPr>
        <w:t>আবু দাউদ তার সুনানে</w:t>
      </w:r>
      <w:r w:rsidRPr="00A377FC">
        <w:rPr>
          <w:rFonts w:ascii="Kalpurush" w:hAnsi="Kalpurush" w:cs="Kalpurush"/>
          <w:sz w:val="24"/>
          <w:szCs w:val="24"/>
          <w:lang w:bidi="bn-BD"/>
        </w:rPr>
        <w:t>,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আবু সাঈদ 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রাদিয়াল্লাহু 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>আনহু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থেকে বর্ণনা করেছেন</w:t>
      </w:r>
      <w:r w:rsidRPr="00A377FC">
        <w:rPr>
          <w:rFonts w:ascii="Kalpurush" w:hAnsi="Kalpurush" w:cs="Kalpurush"/>
          <w:sz w:val="24"/>
          <w:szCs w:val="24"/>
          <w:cs/>
          <w:lang w:bidi="hi-IN"/>
        </w:rPr>
        <w:t xml:space="preserve">,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রাসূলুল্লাহ সাল্লাল্লাহু আলাইহি ওয়াসাল্লাম বিলাপকারী ও তা শ্রবণকারী নারীর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পর অভিসম্পাত করেছেন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এ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হাদীসে</w:t>
      </w:r>
      <w:r w:rsidR="007A4734">
        <w:rPr>
          <w:rFonts w:ascii="Kalpurush" w:hAnsi="Kalpurush" w:cs="Kalpurush"/>
          <w:sz w:val="24"/>
          <w:szCs w:val="24"/>
          <w:cs/>
          <w:lang w:bidi="bn-BD"/>
        </w:rPr>
        <w:t>র সনদে দুর্বলতা থাকলেও এর স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পক্ষে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হাদীস</w:t>
      </w:r>
      <w:r w:rsidRPr="00A377FC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তথা শাওয়াহেদ রয়েছে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কারণ, বিলাপ করা হারাম ও নিষিদ্ধ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অতএব, বিলাপ করা বৈধ নয়</w:t>
      </w:r>
      <w:r w:rsidR="007A4734">
        <w:rPr>
          <w:rFonts w:ascii="Kalpurush" w:hAnsi="Kalpurush" w:cs="Kalpurush" w:hint="cs"/>
          <w:sz w:val="24"/>
          <w:szCs w:val="24"/>
          <w:cs/>
          <w:lang w:bidi="bn-BD"/>
        </w:rPr>
        <w:t xml:space="preserve">, </w:t>
      </w:r>
      <w:r w:rsidR="007A4734">
        <w:rPr>
          <w:rFonts w:ascii="Kalpurush" w:hAnsi="Kalpurush" w:cs="Kalpurush"/>
          <w:sz w:val="24"/>
          <w:szCs w:val="24"/>
          <w:cs/>
          <w:lang w:bidi="bn-BD"/>
        </w:rPr>
        <w:t>নারী</w:t>
      </w:r>
      <w:r w:rsidR="007A4734">
        <w:rPr>
          <w:rFonts w:ascii="Kalpurush" w:hAnsi="Kalpurush" w:cs="Kalpurush" w:hint="cs"/>
          <w:sz w:val="24"/>
          <w:szCs w:val="24"/>
          <w:cs/>
          <w:lang w:bidi="bn-BD"/>
        </w:rPr>
        <w:t>রও নয়</w:t>
      </w:r>
      <w:r w:rsidR="007A4734">
        <w:rPr>
          <w:rFonts w:ascii="Kalpurush" w:hAnsi="Kalpurush" w:cs="Kalpurush"/>
          <w:sz w:val="24"/>
          <w:szCs w:val="24"/>
          <w:cs/>
          <w:lang w:bidi="bn-BD"/>
        </w:rPr>
        <w:t>, অনুরূপ পুরুষের</w:t>
      </w:r>
      <w:r w:rsidR="007A4734">
        <w:rPr>
          <w:rFonts w:ascii="Kalpurush" w:hAnsi="Kalpurush" w:cs="Kalpurush" w:hint="cs"/>
          <w:sz w:val="24"/>
          <w:szCs w:val="24"/>
          <w:cs/>
          <w:lang w:bidi="bn-BD"/>
        </w:rPr>
        <w:t>ও নয়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</w:p>
    <w:p w:rsidR="00A377FC" w:rsidRPr="00A377FC" w:rsidRDefault="00A377FC" w:rsidP="00A377FC">
      <w:pPr>
        <w:shd w:val="clear" w:color="auto" w:fill="FFFFFF"/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A377FC">
        <w:rPr>
          <w:rFonts w:ascii="Times New Roman" w:hAnsi="Times New Roman" w:cs="KFGQPC Uthman Taha Naskh" w:hint="cs"/>
          <w:b/>
          <w:bCs/>
          <w:sz w:val="24"/>
          <w:szCs w:val="24"/>
          <w:rtl/>
        </w:rPr>
        <w:t>النياحة</w:t>
      </w:r>
      <w:r w:rsidRPr="00A377FC">
        <w:rPr>
          <w:rFonts w:ascii="Kalpurush" w:hAnsi="Kalpurush" w:cs="KFGQPC Uthman Taha Naskh"/>
          <w:b/>
          <w:bCs/>
          <w:sz w:val="24"/>
          <w:szCs w:val="24"/>
          <w:cs/>
          <w:lang w:bidi="bn-BD"/>
        </w:rPr>
        <w:t>: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উচ্চস্বরে কাঁদা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হায় অমুক... হায় অমুক... হায় অমুক... ইত্যাদি উচ্চস্বরে বলা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উচ্চ</w:t>
      </w:r>
      <w:r w:rsidR="007A4734">
        <w:rPr>
          <w:rFonts w:ascii="Kalpurush" w:hAnsi="Kalpurush" w:cs="Kalpurush" w:hint="cs"/>
          <w:sz w:val="24"/>
          <w:szCs w:val="24"/>
          <w:cs/>
          <w:lang w:bidi="bn-BD"/>
        </w:rPr>
        <w:t>স্ব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রে যা বলা হয়, তাই নিয়াহা বা বিলাপ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</w:p>
    <w:p w:rsidR="00A377FC" w:rsidRPr="00A377FC" w:rsidRDefault="00A377FC" w:rsidP="00A377FC">
      <w:pPr>
        <w:shd w:val="clear" w:color="auto" w:fill="FFFFFF"/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A377FC">
        <w:rPr>
          <w:rFonts w:ascii="Times New Roman" w:hAnsi="Times New Roman" w:cs="KFGQPC Uthman Taha Naskh" w:hint="cs"/>
          <w:b/>
          <w:bCs/>
          <w:sz w:val="24"/>
          <w:szCs w:val="24"/>
          <w:rtl/>
        </w:rPr>
        <w:t>المستمعة</w:t>
      </w:r>
      <w:r w:rsidRPr="00A377FC">
        <w:rPr>
          <w:rFonts w:ascii="Kalpurush" w:hAnsi="Kalpurush" w:cs="KFGQPC Uthman Taha Naskh"/>
          <w:b/>
          <w:bCs/>
          <w:sz w:val="24"/>
          <w:szCs w:val="24"/>
          <w:cs/>
          <w:lang w:bidi="bn-BD"/>
        </w:rPr>
        <w:t>: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বিলাপকারীর ক্রন্দন শ্রবণকারী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বিলাপকারীর কাছে বসে মনোযোগসহ বিলাপ শোনা, তাকে প্রেরণা দে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য়া ও প্ররোচিত করা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এটাও নিষেধ, কারণ তার কাছে বসা তাকে প্রেরণা দে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য়ারই নামান্তর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তাই তার বিলাপ শোনাও বৈধ নয়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বিলাপকারী যদি চুপ না করে, তবে তাকে ত্যাগ করা, তার সাথে না বসাই শ্রেয়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এটা এক অর্থে তাকে বাধা দে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য়া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অনুরূপ তার বিলাপ শুনতে বসা এক প্রকার প্রেরণা দে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য়া ও তাকে প্ররোচিত করা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</w:p>
    <w:p w:rsidR="00A377FC" w:rsidRPr="00A377FC" w:rsidRDefault="00A377FC" w:rsidP="007A4734">
      <w:pPr>
        <w:shd w:val="clear" w:color="auto" w:fill="FFFFFF"/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A377FC">
        <w:rPr>
          <w:rFonts w:ascii="Kalpurush" w:hAnsi="Kalpurush" w:cs="Kalpurush"/>
          <w:sz w:val="24"/>
          <w:szCs w:val="24"/>
          <w:cs/>
          <w:lang w:bidi="bn-BD"/>
        </w:rPr>
        <w:t>অতএব, বিলাপকারীর বিলাপ শোনা</w:t>
      </w:r>
      <w:r w:rsidR="007A4734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আপনার জন্য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জায়েয 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>নয়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বরং তাকে নিষেধ করুন ও তাকে বাধা দিন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যদি সে মেনে নেয় ভাল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কথা, অন্যথায় তাকে ত্যাগ করুন, তার কথা শ্রবণ করার জন্য বসবেন না</w:t>
      </w:r>
      <w:r w:rsidRPr="00F47341">
        <w:rPr>
          <w:rFonts w:ascii="Kalpurush" w:hAnsi="Kalpurush" w:cs="SolaimanLipi"/>
          <w:sz w:val="24"/>
          <w:szCs w:val="24"/>
          <w:cs/>
          <w:lang w:bidi="hi-IN"/>
        </w:rPr>
        <w:t>।</w:t>
      </w:r>
    </w:p>
    <w:p w:rsidR="00A377FC" w:rsidRDefault="00A377FC" w:rsidP="00A377FC">
      <w:pPr>
        <w:shd w:val="clear" w:color="auto" w:fill="FFFFFF"/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A377FC" w:rsidRPr="00A377FC" w:rsidRDefault="00A377FC" w:rsidP="00A377FC">
      <w:pPr>
        <w:shd w:val="clear" w:color="auto" w:fill="FFFFFF"/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A377FC">
        <w:rPr>
          <w:rFonts w:ascii="Kalpurush" w:hAnsi="Kalpurush" w:cs="Kalpurush" w:hint="cs"/>
          <w:sz w:val="24"/>
          <w:szCs w:val="24"/>
          <w:cs/>
          <w:lang w:bidi="bn-BD"/>
        </w:rPr>
        <w:t>আব্দুল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A377FC">
        <w:rPr>
          <w:rFonts w:ascii="Kalpurush" w:hAnsi="Kalpurush" w:cs="Kalpurush" w:hint="cs"/>
          <w:sz w:val="24"/>
          <w:szCs w:val="24"/>
          <w:cs/>
          <w:lang w:bidi="bn-BD"/>
        </w:rPr>
        <w:t>আযীয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A377FC"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A377FC">
        <w:rPr>
          <w:rFonts w:ascii="Kalpurush" w:hAnsi="Kalpurush" w:cs="Kalpurush" w:hint="cs"/>
          <w:sz w:val="24"/>
          <w:szCs w:val="24"/>
          <w:cs/>
          <w:lang w:bidi="bn-BD"/>
        </w:rPr>
        <w:t>আব্দুল্লাহ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A377FC"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A377F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A377FC">
        <w:rPr>
          <w:rFonts w:ascii="Kalpurush" w:hAnsi="Kalpurush" w:cs="Kalpurush" w:hint="cs"/>
          <w:sz w:val="24"/>
          <w:szCs w:val="24"/>
          <w:cs/>
          <w:lang w:bidi="bn-BD"/>
        </w:rPr>
        <w:t>বায</w:t>
      </w:r>
    </w:p>
    <w:p w:rsidR="00A377FC" w:rsidRPr="00A377FC" w:rsidRDefault="00A377FC" w:rsidP="00952332">
      <w:pPr>
        <w:shd w:val="clear" w:color="auto" w:fill="FFFFFF"/>
        <w:spacing w:after="0"/>
        <w:jc w:val="both"/>
        <w:rPr>
          <w:rFonts w:ascii="Kalpurush" w:hAnsi="Kalpurush" w:cs="KFGQPC Uthman Taha Naskh"/>
          <w:sz w:val="24"/>
          <w:szCs w:val="24"/>
          <w:lang w:bidi="bn-BD"/>
        </w:rPr>
      </w:pPr>
      <w:r w:rsidRPr="00A377FC">
        <w:rPr>
          <w:rFonts w:ascii="Times New Roman" w:hAnsi="Times New Roman" w:cs="KFGQPC Uthman Taha Naskh" w:hint="cs"/>
          <w:sz w:val="24"/>
          <w:szCs w:val="24"/>
          <w:rtl/>
        </w:rPr>
        <w:t>فتاوى</w:t>
      </w:r>
      <w:r w:rsidRPr="00A377FC">
        <w:rPr>
          <w:rFonts w:ascii="Kalpurush" w:hAnsi="Kalpurush" w:cs="KFGQPC Uthman Taha Naskh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sz w:val="24"/>
          <w:szCs w:val="24"/>
          <w:rtl/>
        </w:rPr>
        <w:t>نور</w:t>
      </w:r>
      <w:r w:rsidRPr="00A377FC">
        <w:rPr>
          <w:rFonts w:ascii="Kalpurush" w:hAnsi="Kalpurush" w:cs="KFGQPC Uthman Taha Naskh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sz w:val="24"/>
          <w:szCs w:val="24"/>
          <w:rtl/>
        </w:rPr>
        <w:t>على</w:t>
      </w:r>
      <w:r w:rsidRPr="00A377FC">
        <w:rPr>
          <w:rFonts w:ascii="Kalpurush" w:hAnsi="Kalpurush" w:cs="KFGQPC Uthman Taha Naskh"/>
          <w:sz w:val="24"/>
          <w:szCs w:val="24"/>
          <w:rtl/>
        </w:rPr>
        <w:t xml:space="preserve"> </w:t>
      </w:r>
      <w:r w:rsidRPr="00A377FC">
        <w:rPr>
          <w:rFonts w:ascii="Times New Roman" w:hAnsi="Times New Roman" w:cs="KFGQPC Uthman Taha Naskh" w:hint="cs"/>
          <w:sz w:val="24"/>
          <w:szCs w:val="24"/>
          <w:rtl/>
        </w:rPr>
        <w:t>الدرب</w:t>
      </w:r>
      <w:r w:rsidRPr="00A377FC">
        <w:rPr>
          <w:rFonts w:ascii="Kalpurush" w:hAnsi="Kalpurush" w:cs="KFGQPC Uthman Taha Naskh"/>
          <w:sz w:val="24"/>
          <w:szCs w:val="24"/>
          <w:rtl/>
        </w:rPr>
        <w:t xml:space="preserve"> (2/1147)</w:t>
      </w:r>
    </w:p>
    <w:p w:rsidR="00A377FC" w:rsidRPr="00A377FC" w:rsidRDefault="00A377FC" w:rsidP="00A377FC">
      <w:pPr>
        <w:shd w:val="clear" w:color="auto" w:fill="FFFFFF"/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A377FC" w:rsidRPr="00A377FC" w:rsidRDefault="00A377FC" w:rsidP="00A377FC">
      <w:pPr>
        <w:bidi w:val="0"/>
        <w:spacing w:after="0"/>
        <w:ind w:firstLine="360"/>
        <w:jc w:val="both"/>
        <w:rPr>
          <w:rFonts w:ascii="Kalpurush" w:hAnsi="Kalpurush" w:cs="Kalpurush"/>
          <w:sz w:val="24"/>
          <w:szCs w:val="24"/>
        </w:rPr>
      </w:pPr>
    </w:p>
    <w:p w:rsidR="005666DC" w:rsidRPr="00A377FC" w:rsidRDefault="000A6307" w:rsidP="00A377FC">
      <w:pPr>
        <w:bidi w:val="0"/>
        <w:spacing w:after="0"/>
        <w:jc w:val="both"/>
        <w:rPr>
          <w:rFonts w:ascii="Kalpurush" w:hAnsi="Kalpurush" w:cs="Kalpurush"/>
          <w:sz w:val="24"/>
          <w:szCs w:val="24"/>
          <w:rtl/>
          <w:cs/>
          <w:lang w:bidi="ar-EG"/>
        </w:rPr>
      </w:pPr>
      <w:r w:rsidRPr="00A377FC">
        <w:rPr>
          <w:rFonts w:ascii="Kalpurush" w:hAnsi="Kalpurush" w:cs="Kalpurush"/>
          <w:sz w:val="24"/>
          <w:szCs w:val="24"/>
          <w:lang w:bidi="ar-EG"/>
        </w:rPr>
        <w:br w:type="page"/>
      </w:r>
      <w:r w:rsidR="00DC6A8E" w:rsidRPr="00A377FC">
        <w:rPr>
          <w:rFonts w:ascii="Kalpurush" w:hAnsi="Kalpurush" w:cs="Kalpurush"/>
          <w:noProof/>
          <w:color w:val="006666"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49BC01FD" wp14:editId="4CA52685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A377FC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431" w:rsidRDefault="00AE6431" w:rsidP="00E32771">
      <w:pPr>
        <w:spacing w:after="0" w:line="240" w:lineRule="auto"/>
      </w:pPr>
      <w:r>
        <w:separator/>
      </w:r>
    </w:p>
  </w:endnote>
  <w:endnote w:type="continuationSeparator" w:id="0">
    <w:p w:rsidR="00AE6431" w:rsidRDefault="00AE643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18A5D18E-65DB-4D0B-A3B1-87A7D1124911}"/>
    <w:embedBold r:id="rId2" w:fontKey="{4B182E4D-8011-425E-986C-57B1EB774F0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53F44F36-A76C-4C10-ACDF-DDFD379D9FA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2C38B4ED-FE65-478B-AE94-80B5FEBCE9A1}"/>
    <w:embedBold r:id="rId5" w:fontKey="{C77FBF6E-F981-4014-B9EF-114FEE676739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1889C132-7A56-48E3-9505-540D3429D20A}"/>
    <w:embedBold r:id="rId7" w:fontKey="{A10B1039-7CA9-4CF0-9F45-44F2656446E8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3F16DCBC-AD83-4116-B956-1EFAD2CB0A5A}"/>
    <w:embedBold r:id="rId9" w:fontKey="{A6B87D67-FE84-4F8E-9C95-E4142A04A049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0" w:fontKey="{3BCFE1AE-4C7D-4307-9AFD-DEEA8B10267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F073B893-5788-4EA1-9E25-FE40BB7B363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3D18E305-6A3B-41D0-9258-8D40FCE53746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3" w:fontKey="{4BBFD181-5735-47E0-8402-7E3BDDE30285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4" w:fontKey="{1E3D8410-7687-4BF1-A713-F638890187C2}"/>
  </w:font>
  <w:font w:name="Calibri Light">
    <w:charset w:val="00"/>
    <w:family w:val="swiss"/>
    <w:pitch w:val="variable"/>
    <w:sig w:usb0="A00002EF" w:usb1="4000207B" w:usb2="00000000" w:usb3="00000000" w:csb0="0000019F" w:csb1="00000000"/>
    <w:embedRegular r:id="rId15" w:fontKey="{E7ECC472-B47E-4EC5-921F-80B10CF69FA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BDA31B8" wp14:editId="1CB224C8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5EF1067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431" w:rsidRDefault="00AE6431" w:rsidP="00E32771">
      <w:pPr>
        <w:spacing w:after="0" w:line="240" w:lineRule="auto"/>
      </w:pPr>
      <w:r>
        <w:separator/>
      </w:r>
    </w:p>
  </w:footnote>
  <w:footnote w:type="continuationSeparator" w:id="0">
    <w:p w:rsidR="00AE6431" w:rsidRDefault="00AE6431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4202BEB4" wp14:editId="7E5ADF25">
              <wp:simplePos x="0" y="0"/>
              <wp:positionH relativeFrom="column">
                <wp:posOffset>-595630</wp:posOffset>
              </wp:positionH>
              <wp:positionV relativeFrom="paragraph">
                <wp:posOffset>-187456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1446636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A377FC" w:rsidP="00A377FC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A377FC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বিলাপ</w:t>
                            </w:r>
                            <w:r w:rsidRPr="00A377FC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-</w:t>
                            </w:r>
                            <w:r w:rsidRPr="00A377FC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মাতম</w:t>
                            </w:r>
                            <w:r w:rsidRPr="00A377FC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A377FC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ও</w:t>
                            </w:r>
                            <w:r w:rsidRPr="00A377FC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A377FC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কবর</w:t>
                            </w:r>
                            <w:r w:rsidRPr="00A377FC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যি</w:t>
                            </w:r>
                            <w:r w:rsidRPr="00A377FC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য়ারত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A10C38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1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6.9pt;margin-top:-14.7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2n2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4466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A377FC" w:rsidP="00A377FC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A377FC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বিলাপ</w:t>
                      </w:r>
                      <w:r w:rsidRPr="00A377FC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-</w:t>
                      </w:r>
                      <w:r w:rsidRPr="00A377FC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মাতম</w:t>
                      </w:r>
                      <w:r w:rsidRPr="00A377FC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A377FC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ও</w:t>
                      </w:r>
                      <w:r w:rsidRPr="00A377FC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A377FC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কবর</w:t>
                      </w:r>
                      <w:r w:rsidRPr="00A377FC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যি</w:t>
                      </w:r>
                      <w:r w:rsidRPr="00A377FC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য়ারত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A10C38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1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2F93E3" wp14:editId="5F4958A2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2A3ACBBC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939C453" wp14:editId="382DA2C8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9CAAB72" wp14:editId="7F20179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3B941E79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E0FD6ED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7FC"/>
    <w:rsid w:val="0000503E"/>
    <w:rsid w:val="0000656E"/>
    <w:rsid w:val="00014A18"/>
    <w:rsid w:val="00034CD7"/>
    <w:rsid w:val="00054A51"/>
    <w:rsid w:val="000750B9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E2D3C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544F"/>
    <w:rsid w:val="005A2707"/>
    <w:rsid w:val="005A6FDB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95BD3"/>
    <w:rsid w:val="007A4734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52332"/>
    <w:rsid w:val="009967F9"/>
    <w:rsid w:val="009F701F"/>
    <w:rsid w:val="00A03054"/>
    <w:rsid w:val="00A052E1"/>
    <w:rsid w:val="00A10C38"/>
    <w:rsid w:val="00A2421B"/>
    <w:rsid w:val="00A32249"/>
    <w:rsid w:val="00A377FC"/>
    <w:rsid w:val="00A61E5C"/>
    <w:rsid w:val="00A65935"/>
    <w:rsid w:val="00AD2A33"/>
    <w:rsid w:val="00AE6431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12355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47341"/>
    <w:rsid w:val="00F60EBD"/>
    <w:rsid w:val="00F80820"/>
    <w:rsid w:val="00F950B6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3738F-2B5C-451E-A284-51802FE0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</Template>
  <TotalTime>82</TotalTime>
  <Pages>1</Pages>
  <Words>619</Words>
  <Characters>3445</Characters>
  <Application>Microsoft Office Word</Application>
  <DocSecurity>0</DocSecurity>
  <Lines>76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বিলাপ-মাতম ও কবর যিয়ারত</vt:lpstr>
      <vt:lpstr/>
    </vt:vector>
  </TitlesOfParts>
  <Company>islamhouse.com</Company>
  <LinksUpToDate>false</LinksUpToDate>
  <CharactersWithSpaces>4028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বিলাপ-মাতম ও কবর যিয়ারত</dc:title>
  <dc:subject>বিলাপ-মাতম ও কবর যিয়ারত</dc:subject>
  <dc:creator>আব্দুল আযীয ইবন আব্দুল্লাহ ইবন বায রহ.</dc:creator>
  <cp:keywords>বিলাপ-মাতম ও কবর যিয়ারত</cp:keywords>
  <dc:description>বিলাপ-মাতম ও কবর যিয়ারত</dc:description>
  <cp:lastModifiedBy>Ahmed Qassem</cp:lastModifiedBy>
  <cp:revision>6</cp:revision>
  <cp:lastPrinted>2015-12-18T11:37:00Z</cp:lastPrinted>
  <dcterms:created xsi:type="dcterms:W3CDTF">2015-10-06T01:49:00Z</dcterms:created>
  <dcterms:modified xsi:type="dcterms:W3CDTF">2015-12-18T11:43:00Z</dcterms:modified>
</cp:coreProperties>
</file>