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534606" w:rsidRDefault="00235E40" w:rsidP="00235E4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Vrste hadždžskih obreda</w:t>
      </w:r>
    </w:p>
    <w:p w:rsidR="00A03054" w:rsidRPr="00534606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534606" w:rsidRDefault="00235E40" w:rsidP="0063137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أنواع النسك</w:t>
      </w:r>
    </w:p>
    <w:p w:rsidR="00912D68" w:rsidRPr="00534606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534606" w:rsidRDefault="00A03054" w:rsidP="00221B2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21B20"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البوسنية</w:t>
      </w:r>
      <w:r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534606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53460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534606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53460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534606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7638D" w:rsidRDefault="00221B20" w:rsidP="0087638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 w:rsidRPr="00534606">
        <w:rPr>
          <w:rFonts w:asciiTheme="majorBidi" w:hAnsiTheme="majorBidi" w:cstheme="majorBidi"/>
          <w:color w:val="205B83"/>
          <w:sz w:val="48"/>
          <w:szCs w:val="48"/>
          <w:lang w:bidi="ar-EG"/>
        </w:rPr>
        <w:t xml:space="preserve">Muhammed </w:t>
      </w:r>
      <w:r w:rsidR="0087638D">
        <w:rPr>
          <w:rFonts w:asciiTheme="majorBidi" w:hAnsiTheme="majorBidi" w:cstheme="majorBidi"/>
          <w:color w:val="205B83"/>
          <w:sz w:val="48"/>
          <w:szCs w:val="48"/>
          <w:lang w:bidi="ar-EG"/>
        </w:rPr>
        <w:t>ibn Ibrahim et-Tuvejdžiri</w:t>
      </w:r>
    </w:p>
    <w:p w:rsidR="00912D68" w:rsidRPr="00534606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534606" w:rsidRDefault="00221B20" w:rsidP="0087638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 w:rsidRPr="00534606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محمد </w:t>
      </w:r>
      <w:r w:rsidR="0087638D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 إبراهيم التويجري</w:t>
      </w: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</w:rPr>
      </w:pP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534606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534606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534606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534606" w:rsidRDefault="00D07702" w:rsidP="00221B2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Prevodilac</w:t>
      </w:r>
      <w:r w:rsidR="00A03054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 w:rsidR="00221B20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Senad Muhić</w:t>
      </w:r>
    </w:p>
    <w:p w:rsidR="00912D68" w:rsidRPr="00534606" w:rsidRDefault="00D07702" w:rsidP="00D0770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Revizor</w:t>
      </w:r>
      <w:r w:rsidR="00A03054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 w:rsidR="00221B20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Ersan Grahovac</w:t>
      </w:r>
    </w:p>
    <w:p w:rsidR="00A03054" w:rsidRPr="00534606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534606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534606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221B20" w:rsidRPr="00534606">
        <w:rPr>
          <w:rFonts w:asciiTheme="majorBidi" w:hAnsiTheme="majorBidi" w:cs="KFGQPC Uthman Taha Naskh"/>
          <w:b/>
          <w:bCs/>
          <w:sz w:val="32"/>
          <w:szCs w:val="32"/>
          <w:rtl/>
        </w:rPr>
        <w:t>سناد موهيتش</w:t>
      </w:r>
    </w:p>
    <w:p w:rsidR="008B3703" w:rsidRPr="00534606" w:rsidRDefault="00A03054" w:rsidP="00221B2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534606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21B20"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: أرسان غراهوفاتس</w:t>
      </w:r>
    </w:p>
    <w:p w:rsidR="00E942BB" w:rsidRPr="00534606" w:rsidRDefault="00E942BB" w:rsidP="0061210E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534606" w:rsidRDefault="00E942BB" w:rsidP="00235E4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534606">
        <w:rPr>
          <w:rFonts w:asciiTheme="majorBidi" w:hAnsiTheme="majorBidi" w:cstheme="majorBidi"/>
          <w:noProof/>
          <w:color w:val="205B83"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457522</wp:posOffset>
            </wp:positionH>
            <wp:positionV relativeFrom="paragraph">
              <wp:posOffset>202280</wp:posOffset>
            </wp:positionV>
            <wp:extent cx="4763069" cy="38213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069" cy="382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E40">
        <w:rPr>
          <w:rFonts w:asciiTheme="majorBidi" w:hAnsiTheme="majorBidi" w:cstheme="majorBidi"/>
          <w:color w:val="205B83"/>
          <w:sz w:val="36"/>
          <w:szCs w:val="36"/>
          <w:lang w:bidi="ar-EG"/>
        </w:rPr>
        <w:t>Vrste hadždžskih obreda</w:t>
      </w:r>
      <w:r w:rsidR="00221B20" w:rsidRPr="00534606">
        <w:rPr>
          <w:rFonts w:asciiTheme="majorBidi" w:hAnsiTheme="majorBidi" w:cstheme="majorBidi"/>
          <w:color w:val="205B83"/>
          <w:sz w:val="36"/>
          <w:szCs w:val="36"/>
          <w:lang w:bidi="ar-EG"/>
        </w:rPr>
        <w:t xml:space="preserve"> </w:t>
      </w:r>
    </w:p>
    <w:p w:rsidR="00E942BB" w:rsidRPr="00534606" w:rsidRDefault="00E942BB" w:rsidP="00235E40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53460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534606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942BB" w:rsidRPr="00534606" w:rsidRDefault="00E942BB" w:rsidP="00235E40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sz w:val="30"/>
          <w:szCs w:val="30"/>
          <w:rtl/>
          <w:lang w:bidi="ar-EG"/>
        </w:rPr>
      </w:pPr>
    </w:p>
    <w:p w:rsidR="00235E40" w:rsidRPr="000D0CCC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bs-Latn-BA" w:bidi="ar-SY"/>
        </w:rPr>
      </w:pPr>
      <w:r w:rsidRPr="000D0C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bs-Latn-BA" w:bidi="ar-SY"/>
        </w:rPr>
        <w:t>Vrste hadždžskih obreda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Hadžski obredi se dijele na: </w:t>
      </w:r>
      <w:r w:rsidRPr="000D0CCC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</w:t>
      </w:r>
      <w:r w:rsidRPr="000D0CCC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</w:t>
      </w:r>
      <w:r w:rsidRPr="000D0CCC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0D0CC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1. Način obavljanja vrste hadždža koja se naziva temettu'</w:t>
      </w:r>
    </w:p>
    <w:p w:rsidR="00235E40" w:rsidRPr="000D0CCC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hadžskim mjesecima</w:t>
      </w:r>
      <w:r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1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treba zanijetiti obavljanje umre, zatim je obaviti, a onda iz Mekke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ili njene blizine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zanijetiti ob</w:t>
      </w:r>
      <w:bookmarkStart w:id="0" w:name="_GoBack"/>
      <w:bookmarkEnd w:id="0"/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avljanje hadždža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u toj godini.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ihramima treba biti sve dok ne baci kamenčiće na džemretu-l-akabe, na dan bajrama i dok ne obrije glavu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(ili skrati kosu)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Kod ove vrste hadždža mora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se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zaklati kurban.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Ovaj obred će zanijetiti riječima: </w:t>
      </w:r>
      <w:r w:rsidRPr="00CF20A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umreten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FD2175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FD217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2. Način obavljanja vrste hadždža koji se naziva </w:t>
      </w:r>
      <w:r w:rsidRPr="00FD217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kiran</w:t>
      </w: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Treba zajedno zanijetiti i hadždž i umru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spojeno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ili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prvo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zanijeti hadždž, a nakon toga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pripoji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mu i nijjet umre.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od ove vrste hadždža se mora zaklati životinja kao kurban.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Nijjet za ovu vrstu hadždža se izgovara: </w:t>
      </w:r>
      <w:r w:rsidRPr="0090710A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umreten ve hadždžen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Onome ko ima opravdanje, dozvoljeno da nijjet hadždža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poji umri, ali prije nego što počne sa umranskim tavafom. Takav je slučaj sa ženama koje su ušle u menstrualni ili postorođajni ciklus ili osobe koje nemaju mnogo vremena</w:t>
      </w:r>
      <w:r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2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sl.</w:t>
      </w:r>
    </w:p>
    <w:p w:rsidR="00235E40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</w:pPr>
      <w:r w:rsidRPr="000B1BE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3. Način obavljanja hadždža koji se naziva </w:t>
      </w:r>
      <w:r w:rsidRPr="000B1BE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ifrad</w:t>
      </w:r>
    </w:p>
    <w:p w:rsidR="00F0740F" w:rsidRPr="000B1BEF" w:rsidRDefault="00F0740F" w:rsidP="00F0740F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Treba da samo zanijeti hadždž riječima: </w:t>
      </w:r>
      <w:r w:rsidRPr="00984E16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Lebbejke hadždžen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Onaj ko obavlja ifrad čini sve isto kao i onaj ko obavlja </w:t>
      </w:r>
      <w:r w:rsidRPr="00984E16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osim što se za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mora zaklati kur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ban, dok kod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to nije obaveza.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je bolji od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a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je bolji i od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od </w:t>
      </w:r>
      <w:r w:rsidRPr="001512A2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Sunnet je da onaj ko obavlja hadždž (više puta) nekada zanijeti </w:t>
      </w:r>
      <w:r w:rsidRPr="00052E74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nekada </w:t>
      </w:r>
      <w:r w:rsidRPr="00052E74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a nekada </w:t>
      </w:r>
      <w:r w:rsidRPr="00BE3CB9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kako bi oživio i očuvao sunnet, a u većini slučajeva treba da obavlja </w:t>
      </w:r>
      <w:r w:rsidRPr="00BE3CB9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temmetu'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jer je on najbolji.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Prenosi si se da je Aiša, kazala: „</w:t>
      </w:r>
      <w:r w:rsidRPr="00BE3CB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Krenuli smo sa Poslanikom, sallallahu alejhi ve sellem, a on reče: 'Ko od vas želi da zanijeti i hadždž i umru, neka to učini. Ko želi da zanijeti samo haždž, neka to i učini, a ako želi da zanijeti samo umru, neka to učini.' Poslanik, sallallahu alejhi ve sellem, je zanijetio hadždž, a i neki ljudi su to učinili. Neki ljudi su zanijetili i hadždž i umru, a neki su samo umru. Ja sam bila među onima koji su zanijetili samo umru.'</w:t>
      </w:r>
      <w:r>
        <w:rPr>
          <w:rStyle w:val="FootnoteReference"/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footnoteReference w:id="3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4"/>
      </w: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0740F" w:rsidRDefault="00F0740F" w:rsidP="00F0740F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0740F" w:rsidRPr="003111FF" w:rsidRDefault="00F0740F" w:rsidP="00F0740F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Najbolja vrsta hadždža 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lastRenderedPageBreak/>
        <w:t xml:space="preserve">Svaki bi hadžija trebao da obavi hadždž </w:t>
      </w:r>
      <w:r w:rsidRPr="00C565AB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jer je </w:t>
      </w:r>
      <w:r w:rsidRPr="00C565AB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najbolja vrsta hadždža koju je Poslanik, sallallahu alejhi ve sellem, naredio ashabima da se obavlja. On im je rekao da promijene nijjjet u hadždž </w:t>
      </w:r>
      <w:r w:rsidRPr="00C565AB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osim onaj ko je sa sobom poveo kurban.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C565AB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Temmetu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je najlakša vrsta hadždža i ujedno i najvrijednija.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Ukoliko je neko zanijetio da obavlja ifrad ili kiran, bolje mu je da svoj nijjet preokrene i zanijjeti umru, kako bi time ušao u hadždž temettu', pa makar to bilo nakon što je obavio tavaf i saj, pod uslovom da sa sobom nije poveo kurban.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Skratiće kosu i izaći iz obreda (umre) slijedeći naredbu Poslanika, sallallahu alejhi ve sellem.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Onaj ko je poveo kurban sa sobom, ostaće u ihramima i neće izaći iz obreda, dok ne baci kamenčiće i ne ošiša se na dan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kurban bajrama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Od Aiše, radijallahu anha, se prenosi da je rekla: „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Otišli </w:t>
      </w:r>
      <w:r w:rsidRPr="00FB1D1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smo sa Vjerovjesnikom, sallallahu alejhi ve sellem, namjeravajući obaviti samo hadž. Pošto smo došli (u Mekku) i obavili tavaf oko Ka'be, Vjerovjesnik, sallallahu alejhi ve sellem, naredio je da istupi iz ihrama ko nije dotjerao sa sobom kurban.</w:t>
      </w:r>
      <w:r w:rsidRPr="00FB1D1A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FB1D1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I njegove supruge nisu sa sobom gonile kurban, pa su se i one oslobodile ihrama.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5"/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Način ulaska u Mekku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Kada musliman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zanijeti otpočinjanje obreda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hadždža ili umre, krenuće prema Mekki učeći telbijju. Sunnet je da u Mekk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uđe sa njene najviš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e strane, ukoliko mu je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tako lakše,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sunnet je da se prije toga okupa.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Zatim će ući u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el-Mesdžidul-haram</w:t>
      </w:r>
      <w:r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6"/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sa koje god strane želi.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Kada bude došao do harema Kabe, ući će desnom nogom i proučiti dovu koja se inače uči kada se ulazi u džamiju.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Ta dova glasi:</w:t>
      </w:r>
    </w:p>
    <w:p w:rsidR="00235E40" w:rsidRPr="009171E3" w:rsidRDefault="00235E40" w:rsidP="00235E40">
      <w:pPr>
        <w:bidi w:val="0"/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  <w:lang w:bidi="ar-SY"/>
        </w:rPr>
      </w:pPr>
      <w:r w:rsidRPr="009171E3"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  <w:lang w:bidi="ar-SY"/>
        </w:rPr>
        <w:t>اللهُمَّ افْتَحْ لِي أَبْوَابَ رَحْمَتِكَ</w:t>
      </w:r>
    </w:p>
    <w:p w:rsidR="00235E40" w:rsidRPr="009171E3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rtl/>
          <w:lang w:val="bs-Latn-BA" w:bidi="ar-SY"/>
        </w:rPr>
      </w:pPr>
      <w:r w:rsidRPr="009171E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bs-Latn-BA" w:bidi="ar-SY"/>
        </w:rPr>
        <w:t>Allahummeftah li ebvabe rahmetike</w:t>
      </w:r>
      <w:r w:rsidRPr="00235E4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bs-Latn-BA" w:bidi="ar-SY"/>
        </w:rPr>
        <w:t>/</w:t>
      </w:r>
      <w:r w:rsidRPr="009171E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bs-Latn-BA" w:bidi="ar-SY"/>
        </w:rPr>
        <w:t>Allahu moj, otvori mi vrata Svoje milosti.</w:t>
      </w:r>
      <w:r w:rsidRPr="009171E3">
        <w:rPr>
          <w:rStyle w:val="FootnoteReference"/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bs-Latn-BA" w:bidi="ar-SY"/>
        </w:rPr>
        <w:footnoteReference w:id="7"/>
      </w:r>
    </w:p>
    <w:p w:rsidR="00235E40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/>
          <w:sz w:val="24"/>
          <w:szCs w:val="24"/>
          <w:lang w:val="bs-Latn-BA" w:bidi="ar-SY"/>
        </w:rPr>
        <w:t>I proučiće također: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  <w:lang w:val="bs-Latn-BA" w:bidi="ar-SY"/>
        </w:rPr>
      </w:pPr>
    </w:p>
    <w:p w:rsidR="00235E40" w:rsidRPr="009171E3" w:rsidRDefault="00235E40" w:rsidP="00235E40">
      <w:pPr>
        <w:bidi w:val="0"/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</w:rPr>
      </w:pPr>
      <w:r w:rsidRPr="009171E3"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  <w:lang w:bidi="ar-SY"/>
        </w:rPr>
        <w:t>أَعُوذُ بِاللَّهِ الْعَظِيمِ، وَبِوَجْهِهِ الْكَرِيمِ، وَسُلْطَانِهِ الْقَدِيمِ، مِنَ الشَّيْطَانِ الرَّجِيمِ</w:t>
      </w:r>
      <w:r w:rsidRPr="009171E3"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</w:rPr>
        <w:t>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i/>
          <w:iCs/>
          <w:sz w:val="24"/>
          <w:szCs w:val="24"/>
          <w:lang w:bidi="ar-SY"/>
        </w:rPr>
      </w:pPr>
      <w:r w:rsidRPr="009171E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Euzu billahi-l-azimi ve bi vedžhihi-l-kerimi ve sultanihi-l-kadimi mine-š-šejtani-r-radžimi</w:t>
      </w:r>
      <w:r w:rsidRPr="009171E3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bidi="ar-SY"/>
        </w:rPr>
        <w:t>/</w:t>
      </w:r>
      <w:r w:rsidRPr="009171E3">
        <w:rPr>
          <w:rFonts w:asciiTheme="majorBidi" w:hAnsiTheme="majorBidi" w:cstheme="majorBidi"/>
          <w:b/>
          <w:bCs/>
          <w:i/>
          <w:iCs/>
          <w:sz w:val="24"/>
          <w:szCs w:val="24"/>
          <w:lang w:bidi="ar-SY"/>
        </w:rPr>
        <w:t>Utječem se Uzvišenim Allahom, Njegovim plemenitim licem i Njegovom iskonskom snagom od prokletog šejtana.</w:t>
      </w:r>
      <w:r w:rsidRPr="003111FF">
        <w:rPr>
          <w:rStyle w:val="FootnoteReference"/>
          <w:rFonts w:asciiTheme="majorBidi" w:hAnsiTheme="majorBidi" w:cstheme="majorBidi"/>
          <w:i/>
          <w:iCs/>
          <w:sz w:val="24"/>
          <w:szCs w:val="24"/>
          <w:lang w:bidi="ar-SY"/>
        </w:rPr>
        <w:footnoteReference w:id="8"/>
      </w:r>
    </w:p>
    <w:p w:rsidR="00235E40" w:rsidRPr="009171E3" w:rsidRDefault="00235E40" w:rsidP="00235E40">
      <w:pPr>
        <w:bidi w:val="0"/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3111FF">
        <w:rPr>
          <w:rFonts w:asciiTheme="majorBidi" w:hAnsiTheme="majorBidi" w:cstheme="majorBidi"/>
          <w:b/>
          <w:bCs/>
          <w:sz w:val="24"/>
          <w:szCs w:val="24"/>
          <w:lang w:val="bs-Latn-BA" w:bidi="ar-SY"/>
        </w:rPr>
        <w:t xml:space="preserve">Šta treba raditi kada se uđe u </w:t>
      </w:r>
      <w:r>
        <w:rPr>
          <w:rFonts w:asciiTheme="majorBidi" w:hAnsiTheme="majorBidi" w:cstheme="majorBidi"/>
          <w:b/>
          <w:bCs/>
          <w:sz w:val="24"/>
          <w:szCs w:val="24"/>
          <w:lang w:val="bs-Latn-BA" w:bidi="ar-SY"/>
        </w:rPr>
        <w:t>el-Mesdžidul-haram</w:t>
      </w:r>
      <w:r w:rsidRPr="003111FF">
        <w:rPr>
          <w:rFonts w:asciiTheme="majorBidi" w:hAnsiTheme="majorBidi" w:cstheme="majorBidi"/>
          <w:b/>
          <w:bCs/>
          <w:sz w:val="24"/>
          <w:szCs w:val="24"/>
          <w:lang w:bidi="ar-SY"/>
        </w:rPr>
        <w:t>?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Onaj ko obavlja hadždž ili umru, treba odmah, čim doće do Kabe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pristupiti činjenju tavafa, osim u slučaju ako je nastupilo vrijeme nekog od farz namaza ili se hoće klanjati dženaza.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tom slučaju će prvo klanjati, pa će nakon toga činiti tavaf.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2. Onaj ko obavlja samo umru ili obavlja umru koja je sastavni dio </w:t>
      </w:r>
      <w:r w:rsidRPr="009171E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temettu'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hadždža, obaviće umranski tavaf, a onaj ko obavlja hadždž </w:t>
      </w:r>
      <w:r w:rsidRPr="009171E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ifrad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ili </w:t>
      </w:r>
      <w:r w:rsidRPr="009171E3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kiran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će učiniti poznati </w:t>
      </w:r>
      <w:r w:rsidRPr="00D86CD1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tavafu-l-kudum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(tavaf dolaska)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koji nije obavezan, nego je sunnet.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1036E7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1036E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lastRenderedPageBreak/>
        <w:t xml:space="preserve">Na koje načine onaj ko je ušao u neki od obreda može učiniti </w:t>
      </w:r>
      <w:r w:rsidRPr="0058045C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tehallul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, tj. oslobođanje od</w:t>
      </w:r>
      <w:r w:rsidRPr="001036E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ihrama?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1036E7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1036E7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Oslobađanje od ihrama može biti na jedan od sljedećih načina: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-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Da se obred upotpuni i prevede kraju.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-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Da se učini </w:t>
      </w:r>
      <w:r w:rsidRPr="006020F4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tehallul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zbog određenog opravdanja, ukoliko se je prije toga uslovilo.</w:t>
      </w:r>
      <w:r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9"/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-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Da se učini </w:t>
      </w:r>
      <w:r w:rsidRPr="003A4FE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tehallul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zbog nemogućnosti izvršavanja obreda, ali nakon klanja hadždžskog kurbana i brijanja glave.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Pravila ponašanja vezana za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el-Mesdžidul-haram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Džamije i mesdžidi su Allahove kuće u koje kada ulazi musliman uči dovu, i u tim kućama se čine razne vrste ibadeta Allahu Uzvišenom.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Obaveza je svakom robu da spozna veličinu svoga Gospodara koji mu je dozvolio da uđe u Njegovu kuću i obaveza mu je da se što bolje pripremi za razgovor sa svojim Gospodarom, te da se ponaša u Njegovoj kući onako kako to Njemu i Njegovoj veličini priliči.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Također mu je obaveza da voli džamije, da ih cijeni i poštuje njihovu svetost, a posebno kada je riječ o Kabi koja je i sagrađena radi veličanja Allaha i činjenje ibadeta samo Njemu, te radi učenja Njegove knjige i izučavanja vjere.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Nek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i od adaba (bonton) </w:t>
      </w: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vezanih za džamije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 – </w:t>
      </w: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Allahove kuće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89440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Prema džamiji iz kuće krenuti pod abdestom, namirisan u lijepoj i čistoj odjeći. Kada se ide prema džamiji treba biti smiren, a kada se uđe u džamiju treba klanjati </w:t>
      </w:r>
      <w:r w:rsidRPr="00B672EB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tehijjetu-l-mesdžid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.</w:t>
      </w:r>
      <w:r>
        <w:rPr>
          <w:rStyle w:val="FootnoteReference"/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footnoteReference w:id="10"/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Treba se čuvati da ne pravi gužvu i da ne prelazi preko drugih, te treba da</w:t>
      </w:r>
      <w:r w:rsidRPr="00A9460B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bude blag, da se ne gura (kada ulazi i prolazi kroz saffove)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A9460B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 da im napravi mjesto.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Ne treba da jede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bijeli i crveni luk i </w:t>
      </w:r>
      <w:r w:rsidRPr="000D7D76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prasu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</w:t>
      </w:r>
      <w:r w:rsidRPr="000D7D76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sve što ima neugodan miris, a što bi uznemirilo klanjače i meleke.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Dok je čovjek u džamiji treba da isključi svoj mobitel i druge aparate koji bi mogli svojim zvukovima uznemiriti druge.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Džamije se ne smiju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zagađivati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priljavštinama poput poljuvačke,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sline, šlajma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bacanjem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korišteni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h maramica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sl.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U džamiji se treba kloniti svega što predstavlja igru i zabavu, te beskoristan govor 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brbljanje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prepirke i dizanje tonova.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džamiji se ne smije kupovati i prodavati, ne smije se oglašavati izgubljena stvar, ne smije se od ljudi tražiti imetak, tj. prositi.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Treba voditi brigu o čistoći džamije, namještaju, mushafima. Žene treba da se klone ukrašavanja i pokazivanja svojih ukrasa, te trebaju da klanjaju tamo gdje je posebno određeno za njih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Također im je zabranjeno da prave fitnu među ljudima svojim govorom i postupcima.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Allah Uzvišeni kaže: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1.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O sinovi Ademovi, lijepo se obucite kad hoćete molitvu obaviti! I jedite i pijte, samo ne pretjerujte; On ne voli one koji pretjeruju.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(El-E'araf, 31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lastRenderedPageBreak/>
        <w:t xml:space="preserve">2.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U džamijama koje se Allahovom voljom podižu i u kojima se spominje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Njegovo ime – hvale Njega, ujutro i navečer,</w:t>
      </w:r>
      <w:r w:rsidRPr="003111FF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ljudi koje kupovina i prodaja ne ometaju da Allaha spominju i koji molitvu obavljaju i milostinju udjeljuju, i koji strepe od Dana u kom će srca i pogledi biti uznemireni, da bi ih Allah lijepom nagradom za djela njihova nagradio i da bi im od dobrote Svoje i više dao. A Allah daje kome hoće, bez računa.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(En-Nur, 36-38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3.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Oni ne veličaju Allaha onako kako Ga treba veličati; a čitava Zemlja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će na Sudnjem danu u vlasti Njegovoj biti, a nebesa će u moći Njegovoj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smotana ostati. Hvaljen neka je On i vrlo visoko iznad onih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koje Njemu smatraju ravnim!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(Ez-Zumer, 67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235E40" w:rsidRPr="003111FF" w:rsidRDefault="00235E40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4.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I kada smo kao pribježište Ibrahimu pokazali mjesto gdje je Hram,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rekli smo: Ne smatraj Nama nikoga ravnim, i očisti ovaj Hram Moj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za one koji će ga obilaziti, koji će tu u blizini njegovoj stanovati, i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bs-Latn-BA" w:bidi="ar-SY"/>
        </w:rPr>
        <w:t>koji će molitvu obavljati.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(El-Hadždžd, 26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)</w:t>
      </w:r>
    </w:p>
    <w:p w:rsidR="00235E40" w:rsidRPr="003111FF" w:rsidRDefault="00235E40" w:rsidP="00235E40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5666DC" w:rsidRPr="0061210E" w:rsidRDefault="005666DC" w:rsidP="00235E40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6666"/>
          <w:sz w:val="30"/>
          <w:szCs w:val="30"/>
          <w:lang w:val="bs-Latn-BA"/>
        </w:rPr>
      </w:pPr>
    </w:p>
    <w:sectPr w:rsidR="005666DC" w:rsidRPr="0061210E" w:rsidSect="007C1387">
      <w:headerReference w:type="first" r:id="rId11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220" w:rsidRDefault="00426220" w:rsidP="00E32771">
      <w:pPr>
        <w:spacing w:after="0" w:line="240" w:lineRule="auto"/>
      </w:pPr>
      <w:r>
        <w:separator/>
      </w:r>
    </w:p>
  </w:endnote>
  <w:endnote w:type="continuationSeparator" w:id="0">
    <w:p w:rsidR="00426220" w:rsidRDefault="0042622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2472B6D-6F2D-434B-B8DE-31BDD199CCBA}"/>
    <w:embedBold r:id="rId2" w:fontKey="{3A5569D2-914D-4EE8-9202-C258EFC11DBB}"/>
    <w:embedItalic r:id="rId3" w:fontKey="{98A5F5D3-759A-4B55-81D5-E2AE3641A5FD}"/>
    <w:embedBoldItalic r:id="rId4" w:fontKey="{91781481-0E63-4E62-88CD-7F19DF7682D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24366241-FA73-41F5-8423-4BDC3AB9874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D92A9D96-D90A-435B-A5EC-369AFC592C39}"/>
    <w:embedBold r:id="rId7" w:fontKey="{5DC2A2C8-1BD9-4ED6-8B54-552E0939E316}"/>
    <w:embedItalic r:id="rId8" w:fontKey="{FA794ECF-6AF8-4753-81EC-D0B772B8ACC2}"/>
    <w:embedBoldItalic r:id="rId9" w:fontKey="{E100861F-8923-486A-A065-C7FC2E25D7E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655825F9-A448-42AB-92C2-ABE6BCF45BD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5564C21E-E6AD-49C2-817A-EE1F336E2DD1}"/>
    <w:embedBold r:id="rId12" w:fontKey="{FB296CE6-AAF4-4422-A722-5D9CAB8532F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0171F68F-CE02-4177-8E76-FE10107D657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54BDF2E5-10D7-47E1-A841-141B4ADC3A8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5" w:fontKey="{256C2317-F78A-42B7-BA3A-0447E00D682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6250201E-2CCD-4637-9764-BAF644ADEC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426220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220" w:rsidRDefault="00426220" w:rsidP="00E32771">
      <w:pPr>
        <w:spacing w:after="0" w:line="240" w:lineRule="auto"/>
      </w:pPr>
      <w:r>
        <w:separator/>
      </w:r>
    </w:p>
  </w:footnote>
  <w:footnote w:type="continuationSeparator" w:id="0">
    <w:p w:rsidR="00426220" w:rsidRDefault="00426220" w:rsidP="00E32771">
      <w:pPr>
        <w:spacing w:after="0" w:line="240" w:lineRule="auto"/>
      </w:pPr>
      <w:r>
        <w:continuationSeparator/>
      </w:r>
    </w:p>
  </w:footnote>
  <w:footnote w:id="1">
    <w:p w:rsidR="00235E40" w:rsidRPr="006020F4" w:rsidRDefault="00235E40" w:rsidP="00235E40">
      <w:pPr>
        <w:pStyle w:val="FootnoteText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Ševval, zul-ka’de i zul-hidždže. (op. rev.)</w:t>
      </w:r>
    </w:p>
  </w:footnote>
  <w:footnote w:id="2">
    <w:p w:rsidR="00235E40" w:rsidRPr="006020F4" w:rsidRDefault="00235E40" w:rsidP="00235E40">
      <w:pPr>
        <w:pStyle w:val="FootnoteText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Poput onoga ko je zanijetio obaviti umru pa zatim hadždž, ali se desi da nema dovoljno vremena do početka hadždža da bi obavio umru, pa zanijeti spajanje hadždža i umre. (op. rev.)</w:t>
      </w:r>
    </w:p>
  </w:footnote>
  <w:footnote w:id="3">
    <w:p w:rsidR="00235E40" w:rsidRPr="006020F4" w:rsidRDefault="00235E40" w:rsidP="00235E40">
      <w:pPr>
        <w:pStyle w:val="FootnoteText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Tj. vrstu hadždža </w:t>
      </w:r>
      <w:r w:rsidRPr="006020F4">
        <w:rPr>
          <w:rFonts w:asciiTheme="majorBidi" w:hAnsiTheme="majorBidi" w:cstheme="majorBidi"/>
          <w:i/>
          <w:iCs/>
        </w:rPr>
        <w:t>temettu’</w:t>
      </w:r>
      <w:r w:rsidRPr="006020F4">
        <w:rPr>
          <w:rFonts w:asciiTheme="majorBidi" w:hAnsiTheme="majorBidi" w:cstheme="majorBidi"/>
        </w:rPr>
        <w:t>. (op. rev.)</w:t>
      </w:r>
    </w:p>
  </w:footnote>
  <w:footnote w:id="4">
    <w:p w:rsidR="00235E40" w:rsidRPr="006020F4" w:rsidRDefault="00235E40" w:rsidP="00235E40">
      <w:pPr>
        <w:pStyle w:val="FootnoteText"/>
        <w:jc w:val="both"/>
        <w:rPr>
          <w:rFonts w:asciiTheme="majorBidi" w:hAnsiTheme="majorBidi" w:cstheme="majorBidi"/>
          <w:lang w:bidi="ar-SY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</w:t>
      </w:r>
      <w:r w:rsidRPr="006020F4">
        <w:rPr>
          <w:rFonts w:asciiTheme="majorBidi" w:hAnsiTheme="majorBidi" w:cstheme="majorBidi"/>
          <w:lang w:bidi="ar-SY"/>
        </w:rPr>
        <w:t>Bilježi Buharija, br. 319., i Muslim, br. 1211., i ovo je njegova verzija.</w:t>
      </w:r>
    </w:p>
  </w:footnote>
  <w:footnote w:id="5">
    <w:p w:rsidR="00235E40" w:rsidRPr="006020F4" w:rsidRDefault="00235E40" w:rsidP="00235E40">
      <w:pPr>
        <w:pStyle w:val="FootnoteText"/>
        <w:jc w:val="both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Bilježi Buharija, br. 1561., i ovo je njegova verzija, i Muslim, br. 1211.</w:t>
      </w:r>
    </w:p>
  </w:footnote>
  <w:footnote w:id="6">
    <w:p w:rsidR="00235E40" w:rsidRPr="006020F4" w:rsidRDefault="00235E40" w:rsidP="00235E40">
      <w:pPr>
        <w:pStyle w:val="FootnoteText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Nekada se pod el-Mesdžidul-haramom misli na cjelokupan mekkanski harem koji je sveta teritorija čije su granice od Ka’be udaljene: 22 km ka zapadu, 15-16 km ka istoku, 7 km ka sjeveru i 12 km ka jugu, nekada se misli samo na džamiju u čijem centru se nalazi Ka’ba. Ovdje misli na džamiju u čijem centru se nalazi Ka'ba, jer je prethodno autor već spomenuo ulazak u Mekku, a Mekka je unutar mekkanskog harema. (op. rev.)</w:t>
      </w:r>
    </w:p>
  </w:footnote>
  <w:footnote w:id="7">
    <w:p w:rsidR="00235E40" w:rsidRPr="006020F4" w:rsidRDefault="00235E40" w:rsidP="00235E40">
      <w:pPr>
        <w:pStyle w:val="FootnoteText"/>
        <w:jc w:val="both"/>
        <w:rPr>
          <w:rFonts w:asciiTheme="majorBidi" w:hAnsiTheme="majorBidi" w:cstheme="majorBidi"/>
          <w:rtl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Bilježi Muslim, br. 713.</w:t>
      </w:r>
    </w:p>
  </w:footnote>
  <w:footnote w:id="8">
    <w:p w:rsidR="00235E40" w:rsidRPr="006020F4" w:rsidRDefault="00235E40" w:rsidP="00235E40">
      <w:pPr>
        <w:pStyle w:val="FootnoteText"/>
        <w:jc w:val="both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Hadis je ispravan, a bilježi ga Ebu Davud, br. 466.</w:t>
      </w:r>
    </w:p>
  </w:footnote>
  <w:footnote w:id="9">
    <w:p w:rsidR="00235E40" w:rsidRPr="006020F4" w:rsidRDefault="00235E40" w:rsidP="00235E40">
      <w:pPr>
        <w:pStyle w:val="FootnoteText"/>
        <w:rPr>
          <w:rFonts w:asciiTheme="majorBidi" w:hAnsiTheme="majorBidi" w:cstheme="majorBidi"/>
        </w:rPr>
      </w:pPr>
      <w:r w:rsidRPr="006020F4">
        <w:rPr>
          <w:rStyle w:val="FootnoteReference"/>
          <w:rFonts w:asciiTheme="majorBidi" w:hAnsiTheme="majorBidi" w:cstheme="majorBidi"/>
        </w:rPr>
        <w:footnoteRef/>
      </w:r>
      <w:r w:rsidRPr="006020F4">
        <w:rPr>
          <w:rFonts w:asciiTheme="majorBidi" w:hAnsiTheme="majorBidi" w:cstheme="majorBidi"/>
        </w:rPr>
        <w:t xml:space="preserve"> Tj. ukoliko je pri početku ihrama rekao: </w:t>
      </w:r>
      <w:r w:rsidRPr="00CF75D8">
        <w:rPr>
          <w:rFonts w:asciiTheme="majorBidi" w:hAnsiTheme="majorBidi" w:cstheme="majorBidi"/>
        </w:rPr>
        <w:t>„</w:t>
      </w:r>
      <w:r w:rsidRPr="006020F4">
        <w:rPr>
          <w:rFonts w:asciiTheme="majorBidi" w:hAnsiTheme="majorBidi" w:cstheme="majorBidi"/>
          <w:b/>
          <w:bCs/>
          <w:color w:val="000000" w:themeColor="text1"/>
          <w:lang w:val="bs-Latn-BA" w:bidi="ar-SY"/>
        </w:rPr>
        <w:t>In habeseni habis fe mehilli hajsu habesteni – ako me nešto zaustavi – moje oslobađanje od ihrama je tamo gdje si me zaustavio.</w:t>
      </w:r>
      <w:r w:rsidRPr="00CF75D8">
        <w:rPr>
          <w:rFonts w:asciiTheme="majorBidi" w:hAnsiTheme="majorBidi" w:cstheme="majorBidi"/>
          <w:color w:val="000000" w:themeColor="text1"/>
          <w:lang w:val="bs-Latn-BA" w:bidi="ar-SY"/>
        </w:rPr>
        <w:t>“ (op. rev.)</w:t>
      </w:r>
    </w:p>
  </w:footnote>
  <w:footnote w:id="10">
    <w:p w:rsidR="00235E40" w:rsidRPr="00B672EB" w:rsidRDefault="00235E40" w:rsidP="00235E40">
      <w:pPr>
        <w:pStyle w:val="FootnoteText"/>
      </w:pPr>
      <w:r>
        <w:rPr>
          <w:rStyle w:val="FootnoteReference"/>
        </w:rPr>
        <w:footnoteRef/>
      </w:r>
      <w:r w:rsidRPr="00B672EB">
        <w:rPr>
          <w:lang w:val="bs-Latn-BA"/>
        </w:rPr>
        <w:t xml:space="preserve"> </w:t>
      </w:r>
      <w:r>
        <w:t>Dva rekata dobrovoljnog namaza. (op. rev.)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426220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0C3A23" w:rsidRDefault="000C3A23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  <w:t>Propisi vezani za mikate</w:t>
                  </w: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="002E5424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E5424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F67DF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1</w:t>
                  </w:r>
                  <w:r w:rsidR="002E5424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426220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26220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B531C"/>
    <w:rsid w:val="000C2B16"/>
    <w:rsid w:val="000C3A23"/>
    <w:rsid w:val="000D5816"/>
    <w:rsid w:val="000E3FE3"/>
    <w:rsid w:val="000F7FBD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21B20"/>
    <w:rsid w:val="0023307B"/>
    <w:rsid w:val="00235692"/>
    <w:rsid w:val="00235E40"/>
    <w:rsid w:val="00267C61"/>
    <w:rsid w:val="00270AE8"/>
    <w:rsid w:val="00285CF8"/>
    <w:rsid w:val="00286D09"/>
    <w:rsid w:val="002A3916"/>
    <w:rsid w:val="002B2FF1"/>
    <w:rsid w:val="002B662B"/>
    <w:rsid w:val="002C2993"/>
    <w:rsid w:val="002C4329"/>
    <w:rsid w:val="002E5424"/>
    <w:rsid w:val="002F72A4"/>
    <w:rsid w:val="00303E60"/>
    <w:rsid w:val="00303E87"/>
    <w:rsid w:val="003072B2"/>
    <w:rsid w:val="003139D0"/>
    <w:rsid w:val="00317B3C"/>
    <w:rsid w:val="003238D3"/>
    <w:rsid w:val="00347608"/>
    <w:rsid w:val="00355520"/>
    <w:rsid w:val="00365CB9"/>
    <w:rsid w:val="00371452"/>
    <w:rsid w:val="003947B2"/>
    <w:rsid w:val="003A526E"/>
    <w:rsid w:val="003B6818"/>
    <w:rsid w:val="003E1AC6"/>
    <w:rsid w:val="00413533"/>
    <w:rsid w:val="00426220"/>
    <w:rsid w:val="00437EF4"/>
    <w:rsid w:val="00447B55"/>
    <w:rsid w:val="00451428"/>
    <w:rsid w:val="004554F2"/>
    <w:rsid w:val="00471515"/>
    <w:rsid w:val="00477478"/>
    <w:rsid w:val="004C1156"/>
    <w:rsid w:val="004E2AD6"/>
    <w:rsid w:val="004E2DC3"/>
    <w:rsid w:val="004E38A0"/>
    <w:rsid w:val="004E78EF"/>
    <w:rsid w:val="00534606"/>
    <w:rsid w:val="00534E52"/>
    <w:rsid w:val="00536D3B"/>
    <w:rsid w:val="005666DC"/>
    <w:rsid w:val="005714EA"/>
    <w:rsid w:val="00575281"/>
    <w:rsid w:val="0058544F"/>
    <w:rsid w:val="005A10C8"/>
    <w:rsid w:val="005A2707"/>
    <w:rsid w:val="005A6C9C"/>
    <w:rsid w:val="00604920"/>
    <w:rsid w:val="0061210E"/>
    <w:rsid w:val="00612832"/>
    <w:rsid w:val="00631374"/>
    <w:rsid w:val="00631E7F"/>
    <w:rsid w:val="00632FB4"/>
    <w:rsid w:val="00662A2B"/>
    <w:rsid w:val="00677AE4"/>
    <w:rsid w:val="0069533C"/>
    <w:rsid w:val="006A0AF4"/>
    <w:rsid w:val="006C1068"/>
    <w:rsid w:val="006E0420"/>
    <w:rsid w:val="006F4219"/>
    <w:rsid w:val="00717FAE"/>
    <w:rsid w:val="00755A85"/>
    <w:rsid w:val="00770B0C"/>
    <w:rsid w:val="0077162A"/>
    <w:rsid w:val="007A7E2F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7638D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26716"/>
    <w:rsid w:val="00A61E5C"/>
    <w:rsid w:val="00A65935"/>
    <w:rsid w:val="00AD2A33"/>
    <w:rsid w:val="00AD72A0"/>
    <w:rsid w:val="00B03B03"/>
    <w:rsid w:val="00B34CF7"/>
    <w:rsid w:val="00B3510F"/>
    <w:rsid w:val="00B42CD1"/>
    <w:rsid w:val="00B50A3A"/>
    <w:rsid w:val="00B572EF"/>
    <w:rsid w:val="00B820AA"/>
    <w:rsid w:val="00B867C5"/>
    <w:rsid w:val="00B962D1"/>
    <w:rsid w:val="00BA456F"/>
    <w:rsid w:val="00BB2E79"/>
    <w:rsid w:val="00BC17E3"/>
    <w:rsid w:val="00BD190F"/>
    <w:rsid w:val="00BE3A50"/>
    <w:rsid w:val="00BF04A9"/>
    <w:rsid w:val="00C03201"/>
    <w:rsid w:val="00C21104"/>
    <w:rsid w:val="00C37C22"/>
    <w:rsid w:val="00C45A48"/>
    <w:rsid w:val="00C50098"/>
    <w:rsid w:val="00C65965"/>
    <w:rsid w:val="00C72B59"/>
    <w:rsid w:val="00C72BD4"/>
    <w:rsid w:val="00C77532"/>
    <w:rsid w:val="00C90E54"/>
    <w:rsid w:val="00CD4735"/>
    <w:rsid w:val="00CF67DF"/>
    <w:rsid w:val="00D07702"/>
    <w:rsid w:val="00D46176"/>
    <w:rsid w:val="00D7109D"/>
    <w:rsid w:val="00D85A5F"/>
    <w:rsid w:val="00DB48B2"/>
    <w:rsid w:val="00DC6A8E"/>
    <w:rsid w:val="00DE23D0"/>
    <w:rsid w:val="00DF7E4B"/>
    <w:rsid w:val="00E0449C"/>
    <w:rsid w:val="00E210FF"/>
    <w:rsid w:val="00E25D4B"/>
    <w:rsid w:val="00E31846"/>
    <w:rsid w:val="00E32771"/>
    <w:rsid w:val="00E65ECA"/>
    <w:rsid w:val="00E942BB"/>
    <w:rsid w:val="00E96A90"/>
    <w:rsid w:val="00EB6A67"/>
    <w:rsid w:val="00F0740F"/>
    <w:rsid w:val="00F11B8A"/>
    <w:rsid w:val="00F14FCB"/>
    <w:rsid w:val="00F2420A"/>
    <w:rsid w:val="00F25412"/>
    <w:rsid w:val="00F3173B"/>
    <w:rsid w:val="00F40F7C"/>
    <w:rsid w:val="00F80820"/>
    <w:rsid w:val="00F916A6"/>
    <w:rsid w:val="00F95482"/>
    <w:rsid w:val="00FD706F"/>
    <w:rsid w:val="00FE312B"/>
    <w:rsid w:val="00FE31D8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CAA24A7A-4272-43A7-8F81-17F34611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5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221B20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1B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1CA37-3709-43D3-87DC-91040304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1408</Words>
  <Characters>6989</Characters>
  <Application>Microsoft Office Word</Application>
  <DocSecurity>0</DocSecurity>
  <Lines>166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8332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Vrste hadždžskih obreda</dc:title>
  <dc:subject>Vrste hadždžskih obreda</dc:subject>
  <dc:creator>Muhammed ibn Ibrahim et-Tuvejdžiri</dc:creator>
  <cp:keywords>Vrste hadždžskih obreda</cp:keywords>
  <dc:description>Vrste hadždžskih obreda</dc:description>
  <cp:lastModifiedBy>elhashemy</cp:lastModifiedBy>
  <cp:revision>5</cp:revision>
  <cp:lastPrinted>2015-07-02T17:22:00Z</cp:lastPrinted>
  <dcterms:created xsi:type="dcterms:W3CDTF">2015-09-21T14:52:00Z</dcterms:created>
  <dcterms:modified xsi:type="dcterms:W3CDTF">2015-09-22T04:21:00Z</dcterms:modified>
  <cp:category/>
</cp:coreProperties>
</file>