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534606" w:rsidRDefault="00631374" w:rsidP="000C3A23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Propisi vezani za ihram</w:t>
      </w:r>
    </w:p>
    <w:p w:rsidR="00A03054" w:rsidRPr="00534606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534606" w:rsidRDefault="000C3A23" w:rsidP="0063137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ال</w:t>
      </w:r>
      <w:r w:rsidR="00631374">
        <w:rPr>
          <w:rFonts w:asciiTheme="majorBidi" w:hAnsiTheme="majorBidi" w:cs="KFGQPC Uthman Taha Naskh" w:hint="cs"/>
          <w:sz w:val="40"/>
          <w:szCs w:val="40"/>
          <w:rtl/>
        </w:rPr>
        <w:t>إحرام</w:t>
      </w:r>
    </w:p>
    <w:p w:rsidR="00912D68" w:rsidRPr="00534606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534606" w:rsidRDefault="00A03054" w:rsidP="00221B2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21B20"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البوسنية</w:t>
      </w:r>
      <w:r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534606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53460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534606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53460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534606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7638D" w:rsidRDefault="00221B20" w:rsidP="0087638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 w:rsidRPr="00534606">
        <w:rPr>
          <w:rFonts w:asciiTheme="majorBidi" w:hAnsiTheme="majorBidi" w:cstheme="majorBidi"/>
          <w:color w:val="205B83"/>
          <w:sz w:val="48"/>
          <w:szCs w:val="48"/>
          <w:lang w:bidi="ar-EG"/>
        </w:rPr>
        <w:t xml:space="preserve">Muhammed </w:t>
      </w:r>
      <w:r w:rsidR="0087638D">
        <w:rPr>
          <w:rFonts w:asciiTheme="majorBidi" w:hAnsiTheme="majorBidi" w:cstheme="majorBidi"/>
          <w:color w:val="205B83"/>
          <w:sz w:val="48"/>
          <w:szCs w:val="48"/>
          <w:lang w:bidi="ar-EG"/>
        </w:rPr>
        <w:t>ibn Ibrahim et-Tuvejdžiri</w:t>
      </w:r>
    </w:p>
    <w:p w:rsidR="00912D68" w:rsidRPr="00534606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534606" w:rsidRDefault="00221B20" w:rsidP="0087638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 w:rsidRPr="00534606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محمد </w:t>
      </w:r>
      <w:r w:rsidR="0087638D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 إبراهيم التويجري</w:t>
      </w: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</w:rPr>
      </w:pP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534606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534606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534606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534606" w:rsidRDefault="00D07702" w:rsidP="00221B2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Prevodilac</w:t>
      </w:r>
      <w:r w:rsidR="00A03054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 w:rsidR="00221B20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Senad Muhić</w:t>
      </w:r>
    </w:p>
    <w:p w:rsidR="00912D68" w:rsidRPr="00534606" w:rsidRDefault="00D07702" w:rsidP="00D0770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Revizor</w:t>
      </w:r>
      <w:r w:rsidR="00A03054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 w:rsidR="00221B20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Ersan Grahovac</w:t>
      </w:r>
    </w:p>
    <w:p w:rsidR="00A03054" w:rsidRPr="00534606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534606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534606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221B20" w:rsidRPr="00534606">
        <w:rPr>
          <w:rFonts w:asciiTheme="majorBidi" w:hAnsiTheme="majorBidi" w:cs="KFGQPC Uthman Taha Naskh"/>
          <w:b/>
          <w:bCs/>
          <w:sz w:val="32"/>
          <w:szCs w:val="32"/>
          <w:rtl/>
        </w:rPr>
        <w:t>سناد موهيتش</w:t>
      </w:r>
    </w:p>
    <w:p w:rsidR="008B3703" w:rsidRPr="00534606" w:rsidRDefault="00A03054" w:rsidP="00221B2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534606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21B20"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: أرسان غراهوفاتس</w:t>
      </w:r>
    </w:p>
    <w:p w:rsidR="00E942BB" w:rsidRPr="00534606" w:rsidRDefault="00E942BB" w:rsidP="0061210E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534606" w:rsidRDefault="00E942BB" w:rsidP="00631374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534606">
        <w:rPr>
          <w:rFonts w:asciiTheme="majorBidi" w:hAnsiTheme="majorBidi" w:cstheme="majorBidi"/>
          <w:noProof/>
          <w:color w:val="205B83"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457522</wp:posOffset>
            </wp:positionH>
            <wp:positionV relativeFrom="paragraph">
              <wp:posOffset>202280</wp:posOffset>
            </wp:positionV>
            <wp:extent cx="4763069" cy="38213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069" cy="382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A23">
        <w:rPr>
          <w:rFonts w:asciiTheme="majorBidi" w:hAnsiTheme="majorBidi" w:cstheme="majorBidi"/>
          <w:color w:val="205B83"/>
          <w:sz w:val="36"/>
          <w:szCs w:val="36"/>
          <w:lang w:bidi="ar-EG"/>
        </w:rPr>
        <w:t>Propisi vezani za</w:t>
      </w:r>
      <w:r w:rsidR="00631374">
        <w:rPr>
          <w:rFonts w:asciiTheme="majorBidi" w:hAnsiTheme="majorBidi" w:cstheme="majorBidi"/>
          <w:color w:val="205B83"/>
          <w:sz w:val="36"/>
          <w:szCs w:val="36"/>
          <w:lang w:bidi="ar-EG"/>
        </w:rPr>
        <w:t xml:space="preserve"> ihram</w:t>
      </w:r>
      <w:r w:rsidR="00221B20" w:rsidRPr="00534606">
        <w:rPr>
          <w:rFonts w:asciiTheme="majorBidi" w:hAnsiTheme="majorBidi" w:cstheme="majorBidi"/>
          <w:color w:val="205B83"/>
          <w:sz w:val="36"/>
          <w:szCs w:val="36"/>
          <w:lang w:bidi="ar-EG"/>
        </w:rPr>
        <w:t xml:space="preserve"> </w:t>
      </w:r>
    </w:p>
    <w:p w:rsidR="00E942BB" w:rsidRPr="00534606" w:rsidRDefault="00E942BB" w:rsidP="0061210E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53460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534606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942BB" w:rsidRPr="00534606" w:rsidRDefault="00E942BB" w:rsidP="00631374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sz w:val="30"/>
          <w:szCs w:val="30"/>
          <w:rtl/>
          <w:lang w:bidi="ar-EG"/>
        </w:rPr>
      </w:pPr>
    </w:p>
    <w:p w:rsidR="00631374" w:rsidRPr="00AF3C13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bs-Latn-BA" w:bidi="ar-SY"/>
        </w:rPr>
      </w:pPr>
      <w:r w:rsidRPr="00AF3C1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bs-Latn-BA" w:bidi="ar-SY"/>
        </w:rPr>
        <w:t>Ihram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Ihram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je namjera ulaska u obred hadždža ili umre.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Mudrost propisivanja ihrama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Allah je Svojoj Kući Ka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bi dao svet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teritoriju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mikate koje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ne smije proći onaj ko želi doći do nje, osim ukoliko ispunjava određene uslove i sa određenim namjerama.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Mjesto na kojem se oblači ihram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ska odjeća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Sunnet je da se ihram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ska odjeća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odjene na mikatu, nakon kupanja.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Ihram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ska odjeća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muškarca se sastoji od gornjeg i donjeg ogrtača, te papuča.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Onome ko živi blizu mikata, poput stanovnika Medine i Taifa propisano je da obuče ihram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sku odjeću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 svojoj kući, a zatim da zanijeti obred na mikatu.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Ovaj propis se odnosi i na one koji u Mekku dolaze zračnim saobraćajem.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 Abdullaha b. Abbasa, radijallahu anhuma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se prenosi da je kazao: „</w:t>
      </w:r>
      <w:r w:rsidRPr="00EB52F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Vjerovjesnik, sallallahu alejhi v</w:t>
      </w:r>
      <w:bookmarkStart w:id="0" w:name="_GoBack"/>
      <w:bookmarkEnd w:id="0"/>
      <w:r w:rsidRPr="00EB52F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e sellem, krenuo je (u Mekku) iz Medine, pošto se začešljao, nauljao, obukao ogrtače za donji i gornji dio tijela (izar i rida'), on i njegovi drugovi, i nije ništa zabranio od tih ogrtača što se oblači izuzev onoga što je obojeno šafranom čiji tragovi ostaju na koži. Kada je osvanuo u Zul-Hulejfi, uzjahao je, i kada je stao na Bejda'u, otpočeo glasno učenje telbijje sa ashabima i stavio privjesak na vrat svoje deve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–</w:t>
      </w:r>
      <w:r w:rsidRPr="00EB52F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EB52F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kurbana.</w:t>
      </w:r>
      <w:r>
        <w:rPr>
          <w:rStyle w:val="FootnoteReference"/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footnoteReference w:id="1"/>
      </w:r>
      <w:r w:rsidRPr="00EB52F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To je bilo kada je ostalo još pet dana od zul-ka'deta.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2"/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Način ulaska u ihrame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Muškarcu je sunnet da se, ukoliko želi obaviti hadždž ili umru, okupa, očisti, i namiriše sa najljepšim mirisom, ali da ne miriše odjeću.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Tre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ba da obuče dva čista bijela ogr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tača, nakon što skine svoju šivenu odjeću, te da obuče papuče.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Ženi je sunnet da se prije ulaska u ihrame okupa, pa makar bila u menstrualnom i postoporođajnom ciklusu i ona može da obuče bilo koju vrstu odjeće koja prekriva tijelo. Ne smije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obući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odjeću u kojoj bi se isticala mimo ostalih, zatim usku odjeću, ili onu u kojoj bi oponašala muškarce i nevjernike. Također neće obući rukavice i nikab.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2. Sunnet je da se uđe u ihram, ako je to moguće nakon klanjanja namaza, bilo da se radi o obaveznom ili dobrovoljnom namazu.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Zatim da zanijeti ulazak u obred koji želi (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hadždž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ili umra).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Također je sunnet da uđe u ihram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 prouči telbiju, nakon namaza u džamiji ili kad se prevozno sredstvo kojim ide, okrene prema kibli.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Sunnet je da se zahvaljuje Allahu, slavi Ga, i veliča, prije nego što prouči telbiju za ulazak u obred.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lastRenderedPageBreak/>
        <w:t>3.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Sunnet je onome ko je ušao u obred da zanijeti obred koji želi, pa će tako onaj ko želi obaviti umru kazati: </w:t>
      </w:r>
      <w:r w:rsidRPr="005E40B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umreten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Onaj ko obavlja </w:t>
      </w:r>
      <w:r w:rsidRPr="005A10C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</w:t>
      </w:r>
      <w:r w:rsidR="005A10C8">
        <w:rPr>
          <w:rStyle w:val="FootnoteReference"/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footnoteReference w:id="3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hadždž, kazat će: </w:t>
      </w:r>
      <w:r w:rsidRPr="005E40B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hadždžen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a onaj ko obavlja </w:t>
      </w:r>
      <w:r w:rsidRPr="005A10C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="005A10C8">
        <w:rPr>
          <w:rStyle w:val="FootnoteReference"/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footnoteReference w:id="4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hadždž, kazat će: </w:t>
      </w:r>
      <w:r w:rsidRPr="005E40B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umreten ve hadždžen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Osoba koja obavlja hadždž </w:t>
      </w:r>
      <w:r w:rsidRPr="005A10C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</w:t>
      </w:r>
      <w:r w:rsidR="005A10C8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5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kazat će: </w:t>
      </w:r>
      <w:r w:rsidRPr="005E40B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umreten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Propis da neko, prilikom nijjeta obreda uslovi da će prekinuti obrede, ako bude imao opravdanje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Punoljetnoj osobi koja uđe u obred hadždža ili umre je obaveza da taj obred privede kraju, dok tu obavezu nema maloljetna osoba, jer ona svakako nije šerijatski obveznik niti mora izvršavati naredbe.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Ukoliko je onaj ko ulazi u obred bolestan ili strahuje od nečega, sunnet mu je da prilikom ulaska u obred kaže: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„</w:t>
      </w:r>
      <w:r w:rsidRPr="0014074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In habeseni habis fe mehilli hajsu habesteni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– ako me nešto zaustavi – moje oslobađanje od ihrama je tamo gdje si me zaustavio</w:t>
      </w:r>
      <w:r w:rsidRPr="0014074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Kada ovo kaže i nakon toga se pojavi nešto zbog čega mora prekinuti obrede, može da prekine i u tom slučaju ne mora klati kurban kao otkup. Ukoliko ne kaže ove riječi, pa se desi nešto zbog čega mora prekinuti, onda je obavezan da zakolje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kurban kao otkup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a nakon toga će se ošišati i izaći iz obreda.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Allah Uzvišeni kaže: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Hadždž i umru radi Allah izvršavajte (upotpunite).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(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El-Bekare, 196.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)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Prenosi se da je Aiša, radijallahu anha, kazala: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„</w:t>
      </w:r>
      <w:r w:rsidRPr="00A675C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Poslanik, sallallahu alejhi ve sellem, ušao je kod Duba'e ćerke Zubejrove i rekao joj: 'Vjerovatno si naumila poći na hadždž?' 'Tako mi Allaha, ja se osjećam veoma slabo!', odgovori ona. 'Kreni na hadždž.', reče joj on, 'ali prilikom nijeta postavi uvjet i reci: 'O Allahu, moje oslobađanje od ihrama je tamo gdje si me zaustavio.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'“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6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Propis klanjanja namaza prilikom ulaska u obred (ihram)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Sunnet je onome ko želi obaviti hadždž ili umru da obred zanijjeti nakon namaza.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Ukoliko je nastupilo vrijeme farz namaza, klanjat će ga i nakon toga ući u obred.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Ukoliko nije vrijeme farz namaza, klanjat će dva rekata dobrovoljnog namaza i nakon njih ući u obred.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Poslanik, sallallahu alejhi ve sellem, je na Zu-l-Hulejfi ušao u obrede nakon što je klanjao i farz i dobrovoljni namaz i ovaj način je potpuniji.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Onaj ko uđe u obred nakon farza ili nakon nafile, pokorio se jednom d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jelu naredbe, dok onaj ko nije ušao u obred ni nakon farza ni nakon nafile, nije se pokorio, jer nije uradio ono što je Poslanik, sallallahu alejhi ve sellem, uradio kada je ulazio u obred.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Ibn Abbas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radijallahu anhuma,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priča da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je Omer, radijallahu anhu, rekao: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„</w:t>
      </w:r>
      <w:r w:rsidRPr="00843BD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Čuo sam Allahovog Poslanika, sallallahu alejhi ve sellem, kako za dolinu Akik kaže: 'Sinoć mi je od moga Gospodara došao posjetilac i rekao: 'Klanjaj u ovoj blagoslovljenoj dolini i reci: 'Umra s hadžom!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'“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7"/>
      </w:r>
    </w:p>
    <w:p w:rsidR="00631374" w:rsidRDefault="00631374" w:rsidP="00631374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Način učenja telbijje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lastRenderedPageBreak/>
        <w:tab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Sunnet je da onaj ko je već ušao u obred (ihrame) i ko je ušao u svoje prevozno sredstvo, nakon zahvale Allahu, iskazivanja slave Njemu riječima</w:t>
      </w:r>
      <w:r w:rsidRPr="00843BDE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 xml:space="preserve"> subhanallah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veličanja izgovarajući </w:t>
      </w:r>
      <w:r w:rsidRPr="00843BDE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Allahu ekber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kaže:</w:t>
      </w:r>
    </w:p>
    <w:p w:rsidR="00631374" w:rsidRPr="00843BDE" w:rsidRDefault="00631374" w:rsidP="00631374">
      <w:p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24"/>
          <w:szCs w:val="24"/>
          <w:rtl/>
          <w:lang w:val="bs-Latn-BA" w:bidi="ar-SY"/>
        </w:rPr>
      </w:pPr>
      <w:r w:rsidRPr="00843BDE">
        <w:rPr>
          <w:rFonts w:ascii="Traditional Arabic" w:hAnsi="Traditional Arabic" w:cs="Traditional Arabic"/>
          <w:b/>
          <w:bCs/>
          <w:color w:val="000000" w:themeColor="text1"/>
          <w:sz w:val="24"/>
          <w:szCs w:val="24"/>
          <w:rtl/>
          <w:lang w:val="bs-Latn-BA" w:bidi="ar-SY"/>
        </w:rPr>
        <w:t>لَبَّيْكَ اللَّهُمَّ لَبَّيْكَ، لَبَّيْكَ لاَ شَرِيكَ لَكَ لَبَّيْكَ، إِنَّ الحَمْدَ وَالنِّعْمَةَ لَكَ وَالمُلْكَ، لاَ شَرِيكَ لَكَ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Lebbejkellahumme, lebbejk, lebbejke la šerike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rtl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leke lebbejk!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rtl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Innel hamde ven-ni'amete leke, vel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rtl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mulk! La šerike lek/Odazivam Ti se, Allahu moj, odazivam! Odazivam se Tebi, Koji nemaš sudruga. Odazivam Ti se! Tebi pripada svaka hvala, blagodati i vlast i nemaš sudruga.</w:t>
      </w:r>
      <w:r w:rsidRPr="003111FF">
        <w:rPr>
          <w:rStyle w:val="FootnoteReference"/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footnoteReference w:id="8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Prenosi se da je Ebu Hurejre kazao: „Dio telbijje koju je učio Poslanik, sallallahu alejhi ve sellem, bile su i riječi:</w:t>
      </w:r>
    </w:p>
    <w:p w:rsidR="00631374" w:rsidRPr="00CB34BE" w:rsidRDefault="00631374" w:rsidP="00631374">
      <w:p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24"/>
          <w:szCs w:val="24"/>
          <w:lang w:val="bs-Latn-BA" w:bidi="ar-SY"/>
        </w:rPr>
      </w:pPr>
      <w:r w:rsidRPr="00CB34BE">
        <w:rPr>
          <w:rFonts w:ascii="Traditional Arabic" w:hAnsi="Traditional Arabic" w:cs="Traditional Arabic"/>
          <w:b/>
          <w:bCs/>
          <w:color w:val="000000" w:themeColor="text1"/>
          <w:sz w:val="24"/>
          <w:szCs w:val="24"/>
          <w:rtl/>
          <w:lang w:val="bs-Latn-BA" w:bidi="ar-SY"/>
        </w:rPr>
        <w:t>لَبَّيْكَ إِلَهَ الْحَقِّ، لَبَّيْكَ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Lebbejke ilahe-l-hakki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bidi="ar-SY"/>
        </w:rPr>
        <w:t>/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Odazivam ti se Istiniti Bože.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9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Vrijednost telbijje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Sunnet je onome ko je ušao u obred da puno uči telbijju, jer je ona simbol hadždža i umre.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Muškarac treba telbijju da uči glasno, dok će je žena učiti glasno samo ako ne postoji bojazan od fitne.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 vremena na vrijeme će učiti telbiju, pa kelimei šehadet, pa tekbire i tako naizmjenično.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Kada je u pitanju umr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učenje telbije se prekida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kada se uđe u najnižu granicu harema,</w:t>
      </w:r>
      <w:r w:rsidRPr="003111FF">
        <w:rPr>
          <w:rFonts w:asciiTheme="majorBidi" w:hAnsiTheme="majorBidi" w:cstheme="majorBidi"/>
          <w:color w:val="FF0000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dok se prilikom hadždža njeno učenje prekida prilikom bacanja kamenčića na Džemretu-l-akabe, prvi dan Bajrama.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Sehl b. Sad, radijallahu anhu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prenosi da je Poslanik, sallallahu alejhi ve sellem, kazao: „</w:t>
      </w:r>
      <w:r w:rsidRPr="00C3301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Nijedan musliman neće izgovoriti telbijju, a da je, s njegove desne i lijeve strane, ne izgovori svaki kamen, drvo i glina, s kraja do na kraj zemlje.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10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Šta je obaveza hadžiji da uradi</w:t>
      </w: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  <w:t>?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  <w:tab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bidi="ar-SY"/>
        </w:rPr>
        <w:t>Obave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za je onome ko obavlja hadždž ili umru da obrede izvrši onako kako ih je izvršio Poslanik, sallallahu alejhi ve sellem, kako bi mu bili primljeni i u sevap upisani.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Hadžiji, a i drugima je obaveza biti pokoran, izvršavajući naredbe i kloneći se zabrana, te da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se čuva laži, ogovaranja, rasp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rava i ružnog ponašanja. Također, obaveza mu je da izabere sebi dobro društvo, te da hadždž i umru izvršava koristeći samo halal stečeni imetak.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Allah Uzvišeni kaže: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Hadždž je u određenim mjesecima. Onom ko se obaveže da će u njima obavljati hadždž nema snošaja sa ženama, nema ružnih riječi i nema svađe u danima hadždža. A za dobro koje učinite, Allah zna. I onim, što vam je potrebno za put, snadbijte se. A najbolja opskrba je bogobojaznost. I Mene se bojte, o razumom obadareni.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(El-Bekare, 197)</w:t>
      </w:r>
    </w:p>
    <w:p w:rsidR="00631374" w:rsidRDefault="00631374" w:rsidP="00631374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Mahzurati ihrama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– stvari koje je zabranjeno činiti onome ko je započeo obrede hadždža ili umre</w:t>
      </w:r>
    </w:p>
    <w:p w:rsidR="00631374" w:rsidRDefault="00631374" w:rsidP="00631374">
      <w:pPr>
        <w:bidi w:val="0"/>
        <w:spacing w:after="0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Mahzurati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su stvari koje je zabranjeno činiti onome ko je ušao u obred zbog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toga što je ušao u obred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 Abdullaha b. Omera, radijallahu anhuma, se prenosi da je neki čovjek rekao: „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Allahov Poslaniče, šta je muhrimu od odjeće dozvoljeno obući?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“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„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Neće oblačiti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košulje, turbane,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sirvale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,</w:t>
      </w:r>
      <w:r>
        <w:rPr>
          <w:rStyle w:val="FootnoteReference"/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footnoteReference w:id="11"/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ogrtače sa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kapuljačom, nit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i mestve. Međutim, ako neko ne nađe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nanule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lastRenderedPageBreak/>
        <w:t>(ili papuče)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, neka obuče mestve, ali neka ih prethodno podreže do ispod gležnjeva. l ne oblačite ništa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što je dotagao </w:t>
      </w:r>
      <w:r w:rsidRPr="00BE70D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šafran ili vers.</w:t>
      </w:r>
      <w:r>
        <w:rPr>
          <w:rStyle w:val="FootnoteReference"/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footnoteReference w:id="12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13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Muškarcu je zabranjeno da obuva čarape 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mestve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, osim ako ne nađe papuče. U tom slučaju će obući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mestve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i neća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ih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sjeći, jer je taj propis derogiran.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Mestva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je dio platna kojim se prekrivaju stopala i članci, a pravi se od kože ili sličnog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materijala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Čarape su od vune ili sličnog platna, a njima se također prekriva  stopalo do članaka.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Ženama je dozvoljeno da obuku i čarape i mestve.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Rukavice ne smije oblačiti ni muškarac ni žena.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I ženi i muškarcu koji su ušli u obred (ihram) zabranjeno je sljedeće: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1. Brijanje ili skraćivanje kose.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2. Odjsecanje noktiju.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3. Prekrivanje glave muškarcu.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4. Oblačenje šivene odjeće za muškarce.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Pod šivenom odjećom se podrazumijeva ono što je krojeno prema izgledu tijela, poput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duge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košulje, ili što je krojeno prema izgledu gornjeg dijela tijela, poput majice, ili  prema izgledu donjeg dijela tijela, poput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sirvala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ili ono što je krojeno prema izgledu nekog dijela tijela, poput rukavica ili čarapa, kapice za glavu ili turbana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gutre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5. Mirisanje tijela ili odjeće.</w:t>
      </w:r>
    </w:p>
    <w:p w:rsidR="00631374" w:rsidRPr="0022161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6.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Ubijanje divljači čije je meso dozvoljeno jesti i njihov lov.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7. Sklapanje bračnog ugovora.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8. Da žena prekrije lice nikabom, burkom ili nečim sličnim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(šivenim za lice)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i da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obuče rukavice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9. Bračno naslađivanje, mimo spolnog kontakta. Ukoliko na taj način se doživi izbacivanje sperme, hadždž nije pokvaren, ali je učinjen ogroman grijeh nakon kojeg se treba okupati, učiniti pokajanje i nastaviti sa obredom.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10. Spolni kontakt i ovo se smatra najgorim vidom kršenja svetosti ihrama.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254592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Sve što ima veze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sa spolnim kontaktom od riječi (ar. er-r</w:t>
      </w:r>
      <w:r w:rsidRPr="00254592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efes),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griješenje, rasprava. 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 uradi nešto od ovih prijestupa iz zaborava ili neznanja  ili pak pod prisilom, nema grijeha, niti se treba otkupiti, ali se mora kaniti tog djela što prije.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 uradi nešto od ovih prijestupa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– mimo govora koji vodi spolnom odnosu, grijeha i rasprave –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namjerno i pod spoznajom da je to prijestup, ali zbog određenog razloga poput neke bolesti, onda treba da se iskupi, ali nije griješan.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Ukoliko to uradi bez opravdanja i potrebe za tim, onda je griješan i treba da se otkupi otkupom koji je propisan za određeni prijestup, te da ga napusti i da se pokaje.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Propis kada onaj ko je u ihramima ima spolni kontakt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Postoje dvije situacije u vezi onoga ko uđe u obred hadždža ili umre, a nakon toga ima spolni kontakt: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E20D7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Prva: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Ukoliko ima spolni kontakt, iz zaborava ili neznanja, ili pak bude prisiljen, onda nema grijeha, niti se mora iskupiti, nego će samo nastaviti gdje je stao.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E20D7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Druga: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Ukoliko namjerno ima spolni kontakt, učinio je ogroman grijeh i izložio je svoj obred pokvarenosti, jer je prešao Allahove granice, te je narušio svetost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h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arema i obreda. Takav se mora pokajati i od Allaha zatražiti da mu oprosti taj ogromni grijeh.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Allah Uzvišeni kaže: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lastRenderedPageBreak/>
        <w:t>Hadždž je u određenim mjesecima. Onom ko se obaveže da će u njima obavljati hadždž nema snošaja sa ženama, nema ružnih riječi i nema svađe u danima hadždža. A za dobro koje učinite, Allah zna. I onim, što vam je potrebno za put, snadbijte se. A najbolja opskrba je bogobojaznost. I Mene se bojte, o razumom obadareni.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(El-Bekare, 197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Aiša, radijallahu anha, prenosi da je Poslanik, sallallahu alejhi ve sellem, kazao: „</w:t>
      </w:r>
      <w:r w:rsidRPr="00E20D7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Ko uradi djelo koje nije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od naše vjere</w:t>
      </w:r>
      <w:r w:rsidRPr="00E20D7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, odbija mu se.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14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Razlika između muškarca i žene po pitanju ihrama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Žena je u većini slučajeva kao i muškarac kada je u pitanju ono što smo kazali u vezi ihrama. Ona se samo razlikuje u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tome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smije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obu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ći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bilo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kakvu krojenu ili šivenu odjeću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koja nije ukrašena, ne smije da nosi nikab, a glavu će da pokrije. Prekrivač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em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koji joj je na glavi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prekrit će 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lice ako bude u blizini muškaraca koji joj nisu bliža rodbina (mahremi). Također ne smije da oblači rukavice, ali smije da nosi ukrase.</w:t>
      </w:r>
      <w:r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15"/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Vrijeme izlaska iz obreda (tehallul)</w:t>
      </w:r>
    </w:p>
    <w:p w:rsidR="00631374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Prilikom prvog tehallula za vrijeme hadždža, biva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ju mu dopušteni mahzuratul-ihram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osim spolnog kontakta. Taj tehallul biva nakon što se bace kamenčići na džemretu-l-akabe i nakon što se obrije (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ili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skrati) kosa.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Kada poslije toga učini i tavaf oko Kabe, biva mu dozvoljeno sve, pa čak i spolni kontakt sa suprugom.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2. Tehallul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kada je u pitanju umra biva nak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 što se završi tavafom, sa'jom između Saffe i Merve i brijanjem ili šišanjem kose.</w:t>
      </w:r>
    </w:p>
    <w:p w:rsidR="006A0AF4" w:rsidRDefault="006A0AF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 w:bidi="ar-SY"/>
        </w:rPr>
      </w:pPr>
    </w:p>
    <w:p w:rsidR="00631374" w:rsidRDefault="00631374" w:rsidP="006A0AF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Propis žene koja je u obredima dobije menstruaciju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22161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Ako žena koja obavlja hadždž temettu' dobije menstruaciju prije nego što obavi tavaf, i boji se da će je proći obredi hadždža,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spojit će hadždž i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umru 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time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preokren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uti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svoj hadždž u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vrstu </w:t>
      </w:r>
      <w:r w:rsidRPr="005503F4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FF0000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Isti je propis i sa osobom koja ima neko drugo opravdanje.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Žena u menstrualnom i postporođajnom ciklusu čini sve obrede osim tavafa.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Ukoliko dobije menstruaciju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dok je u tavafu (za umru), napustiće ga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ako nema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dovoljno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vremena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da čeka da joj prođe hajz ili nifas pa da nakon toga obavi umru pa hadždž, ona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će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zanijetiti spajanje hadždža i umre i time će čini 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hadždž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koji je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22161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Propis kraćenja kose i noktiju za osobu koja je u ihramima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Osobi koja je u ihramima nije dozvoljeno kratiti kosu, dlake na tijelu, niti nokte.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Allah Uzvišeni kaže: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Hadždž i umru radi Allaha izvršavajte. A ako budete spriječeni, onda kurbane koji vam se nađu pri ruci zakoljite, a glave svoje, dok kurbani ne stignu do mjesta svoga, ne brijte.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(El-Bekare, 196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Odsjecanje noktiju i uklanjanje dlaka sa tijela je prljavština koju je Allah naredio da se ukloni nakon tehallula, što ukazuje da je taj postupak u toku obreda (ihrama) zabranjen, kao što Allah Uzvišeni kaže: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Zatim, neka sa sebe prljavštinu uklone, neka svoje zavjete ispune i neka oko Hrama dnevnog obilaze.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(El-Hadždž, 29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Nije preneseno da je Poslanik, sallallahu alejhi ve sellem, dok je bio u ihramima odsjekao nokte ili dlake sa tijela, pa nije dozvoljeno ni onome ko je u obredima da to čini, osim sa dokazom.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Džabir, radijallahu anhu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lastRenderedPageBreak/>
        <w:t>kaže: „</w:t>
      </w:r>
      <w:r w:rsidRPr="00CB5B7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Vidio sam Poslanika, sallallahu alejhi ve sellem, na dan klanja kurbana, na njegovoj jahalici, kako govori: 'Podučite se obredima, jer ja ne znam da li ću ikad više obaviti hadždž.'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16"/>
      </w:r>
    </w:p>
    <w:p w:rsidR="00631374" w:rsidRDefault="00631374" w:rsidP="00631374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Šta je dozvoljeno osobi koja je pod ihramom?</w:t>
      </w:r>
    </w:p>
    <w:p w:rsidR="00631374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Dozvoljeno je da zakolje devu, kravu, ovcu, kokoš i sl. Ima pravo da ubije životinju koja ga uznemirava bez obzira da li to bilo u granicama harema ili ne, poput lava, vuka,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leoparda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tigra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zmije, akrepa, miša i svega što stvara neprijatnosti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poput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daždevnjaka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. To je najbolje ubiti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jednim udarcem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a onaj ko ga ubije ima stotinu dobrih djela. Dozvoljeno mu je također da lovi kopnene životinje i da ih jede.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Allah Uzvišeni veli: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Vama se dopušta da u moru lovite i da lov jedete, da se njime vi i putnici koristite, a zabranjuje vam se da na kopnu lovite, dok obrede hadždža obavljate. I bojte se Allaha pred kojim ćete se sabrati.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(El-Maide, 96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Prenosi se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od Aiše, radijallahu anha, da je Vjerovjesnik, sallallahu alejhi ve sellem, rekao: „</w:t>
      </w:r>
      <w:r w:rsidRPr="0083126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Pet (vrsta) životinja su štetni i mogu se ubiti i u Haremu: škorpija, miš,  kobac, vrana i pas koji napada.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17"/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2. Dozvoljeno mu je da se kupa, kvasi glavu i odjeću, a može i da zamijeni ihrame.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Dozvoljeno mu je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d</w:t>
      </w:r>
      <w:r w:rsidRPr="00CE5835">
        <w:rPr>
          <w:rFonts w:asciiTheme="majorBidi" w:hAnsiTheme="majorBidi" w:cstheme="majorBidi"/>
          <w:sz w:val="24"/>
          <w:szCs w:val="24"/>
          <w:lang w:val="bs-Latn-BA"/>
        </w:rPr>
        <w:t xml:space="preserve">a nosi srebreni prsten, naočare, slušalice, sat na ruci, te da stavi pojas i obuče </w:t>
      </w:r>
      <w:r w:rsidRPr="00CE5835">
        <w:rPr>
          <w:rFonts w:asciiTheme="majorBidi" w:hAnsiTheme="majorBidi" w:cstheme="majorBidi"/>
          <w:sz w:val="24"/>
          <w:szCs w:val="24"/>
          <w:lang w:val="bs-Latn-BA" w:bidi="ar-SY"/>
        </w:rPr>
        <w:t>nanule (ili papuče)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, pa makar bili i šiveni.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Dozvoljen mu je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umotavanje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rane,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davanje injekcija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, i uzimanje krvi za analizu i sl. </w:t>
      </w: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3. Dozvoljeno mu je da pomiriše neki miris, da bude u hladu nekog šatora, suncobrana, ili krova auta i </w:t>
      </w:r>
      <w:r w:rsidRPr="00CA5A98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ribanje ili češljanje</w:t>
      </w:r>
      <w:r>
        <w:rPr>
          <w:rFonts w:asciiTheme="majorBidi" w:hAnsiTheme="majorBidi" w:cstheme="majorBidi"/>
          <w:color w:val="FF0000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glave, pa makar neka dlaka i spala sa nje.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Onome ko želi da kolje kurban, a obavlja hadždž u prvih deset dana zu-l-hidždžeta, ne t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reba da nakon ulaska u ihram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uklanja dlake i sječe nokte.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Dozvoljeno mu je samo da skrati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ili obrije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kosu ako obavlja hadždž temettu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,</w:t>
      </w:r>
      <w:r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18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jer je brijanje kose ili kraćenje obred hadždža.</w:t>
      </w:r>
    </w:p>
    <w:p w:rsidR="00631374" w:rsidRPr="003111FF" w:rsidRDefault="00631374" w:rsidP="00631374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Šta se radi sa osobom koja umre dok je u ihramima</w:t>
      </w: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  <w:t>?</w:t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SY"/>
        </w:rPr>
      </w:pPr>
    </w:p>
    <w:p w:rsidR="00631374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 onoga ko umre dok je u obredima hadždža ili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obredima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'umre, ne upotpunjavaju se obredi, a ukopaće se u odjeći u kojoj je umro, jer će se na Sudnjem danu takva osoba proživjeti izgovarajući telbijju.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Za onoga ko umre, a nije klanjao, ne obavlja se hadždž, niti se sadaka dijeli za njega, jer je takva osoba otpadnik od vjere.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Od Abdullaha b. Abbasa, radijallahu anhum,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se prenosi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da je jednog čovjeka koji je bio u ihramu oborila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njegova deva i vrat mu zgnječila (usmrtila ga). Mi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smo bili tu sa Vjerovjesnikom, sallallahu alejhi ve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sellem, koji nam je rekao: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„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Okupajte ga vodom sa sidrom i zamotajte ga u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dvije haljinke, a nemojte ga namirisati i pokrivati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mu glavu, jer će ga Allah na Sudnjem danu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</w:t>
      </w:r>
      <w:r w:rsidRPr="007F0A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proživjeti, a on će učiti telbijju.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19"/>
      </w:r>
    </w:p>
    <w:p w:rsidR="00631374" w:rsidRPr="003111FF" w:rsidRDefault="00631374" w:rsidP="00631374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5666DC" w:rsidRPr="0061210E" w:rsidRDefault="005666DC" w:rsidP="00631374">
      <w:pPr>
        <w:bidi w:val="0"/>
        <w:spacing w:after="0"/>
        <w:jc w:val="both"/>
        <w:rPr>
          <w:rFonts w:asciiTheme="majorBidi" w:hAnsiTheme="majorBidi" w:cstheme="majorBidi"/>
          <w:color w:val="006666"/>
          <w:sz w:val="30"/>
          <w:szCs w:val="30"/>
          <w:lang w:val="bs-Latn-BA"/>
        </w:rPr>
      </w:pPr>
    </w:p>
    <w:sectPr w:rsidR="005666DC" w:rsidRPr="0061210E" w:rsidSect="007C1387">
      <w:headerReference w:type="first" r:id="rId11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6E2" w:rsidRDefault="00DE36E2" w:rsidP="00E32771">
      <w:pPr>
        <w:spacing w:after="0" w:line="240" w:lineRule="auto"/>
      </w:pPr>
      <w:r>
        <w:separator/>
      </w:r>
    </w:p>
  </w:endnote>
  <w:endnote w:type="continuationSeparator" w:id="0">
    <w:p w:rsidR="00DE36E2" w:rsidRDefault="00DE36E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9D46A4B-FE3D-4D86-AC58-7CC5B2554B65}"/>
    <w:embedBold r:id="rId2" w:fontKey="{41A050A4-8A8F-4A6F-8DEA-3989774DB263}"/>
    <w:embedItalic r:id="rId3" w:fontKey="{BD9202E0-3A1B-47F7-932C-B8E9B8F8392F}"/>
    <w:embedBoldItalic r:id="rId4" w:fontKey="{C2C0C01D-ED95-44D4-9D63-61DFFF87832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6B28EC24-FB8E-4D70-B476-759177EAF0C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D5F48E91-8D0B-44C4-8F30-139E2E4F7364}"/>
    <w:embedBold r:id="rId7" w:fontKey="{F5AA7E48-32A1-4767-88F5-7E07D4F550F0}"/>
    <w:embedItalic r:id="rId8" w:fontKey="{123381ED-DB12-4EB8-81FD-2BED30E9A967}"/>
    <w:embedBoldItalic r:id="rId9" w:fontKey="{1DF28731-B432-4E17-92E1-AA6859B6F9B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9F74DE83-FA9B-4EA2-88BD-A0AD6635E06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2F8A9026-F978-4404-B801-B765C2A1178F}"/>
    <w:embedBold r:id="rId12" w:fontKey="{2AE67326-A43E-493E-BBA6-8166CE5360C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817CAE00-E5EC-4825-8BFA-8438E0D31EF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2BBD12FA-ECD8-4143-8F5C-6DE6B6E511C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5" w:fontKey="{DA1AA2F7-C67E-40CF-9E03-E6643F06EC2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D75268CE-A0AC-4925-BAD9-F90683559F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DE36E2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6E2" w:rsidRDefault="00DE36E2" w:rsidP="00E32771">
      <w:pPr>
        <w:spacing w:after="0" w:line="240" w:lineRule="auto"/>
      </w:pPr>
      <w:r>
        <w:separator/>
      </w:r>
    </w:p>
  </w:footnote>
  <w:footnote w:type="continuationSeparator" w:id="0">
    <w:p w:rsidR="00DE36E2" w:rsidRDefault="00DE36E2" w:rsidP="00E32771">
      <w:pPr>
        <w:spacing w:after="0" w:line="240" w:lineRule="auto"/>
      </w:pPr>
      <w:r>
        <w:continuationSeparator/>
      </w:r>
    </w:p>
  </w:footnote>
  <w:footnote w:id="1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Okačivši nešto oko njenog vrata da bi se znalo da je to kurban. Vidjeti: Muhammed ibn Jusuf el-Kermani, </w:t>
      </w:r>
      <w:r w:rsidRPr="00884B26">
        <w:rPr>
          <w:rFonts w:asciiTheme="majorBidi" w:hAnsiTheme="majorBidi" w:cstheme="majorBidi"/>
          <w:i/>
          <w:iCs/>
        </w:rPr>
        <w:t>el-Kevakibud-derari</w:t>
      </w:r>
      <w:r w:rsidRPr="00884B26">
        <w:rPr>
          <w:rFonts w:asciiTheme="majorBidi" w:hAnsiTheme="majorBidi" w:cstheme="majorBidi"/>
        </w:rPr>
        <w:t>, 8/75. (op. rev.)</w:t>
      </w:r>
    </w:p>
  </w:footnote>
  <w:footnote w:id="2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  <w:rtl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1545.</w:t>
      </w:r>
    </w:p>
  </w:footnote>
  <w:footnote w:id="3">
    <w:p w:rsidR="005A10C8" w:rsidRPr="005A10C8" w:rsidRDefault="005A10C8" w:rsidP="005A10C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A10C8">
        <w:rPr>
          <w:rFonts w:asciiTheme="majorBidi" w:hAnsiTheme="majorBidi" w:cstheme="majorBidi"/>
          <w:i/>
          <w:iCs/>
        </w:rPr>
        <w:t>Ifrad</w:t>
      </w:r>
      <w:r w:rsidRPr="00884B26">
        <w:rPr>
          <w:rFonts w:asciiTheme="majorBidi" w:hAnsiTheme="majorBidi" w:cstheme="majorBidi"/>
        </w:rPr>
        <w:t xml:space="preserve"> je vrsta hadždža u kojoj hadžija zanijeti samo hadždž bez umre, i nije mu obavezno zaklati hadždžski kurban kao jedan od obreda hadždža. Vidjeti: </w:t>
      </w:r>
      <w:r w:rsidRPr="00884B26">
        <w:rPr>
          <w:rFonts w:asciiTheme="majorBidi" w:hAnsiTheme="majorBidi" w:cstheme="majorBidi"/>
          <w:i/>
          <w:iCs/>
        </w:rPr>
        <w:t>el-Meusuatul-fikhijjetil-kuvejtijje</w:t>
      </w:r>
      <w:r w:rsidRPr="00884B26">
        <w:rPr>
          <w:rFonts w:asciiTheme="majorBidi" w:hAnsiTheme="majorBidi" w:cstheme="majorBidi"/>
        </w:rPr>
        <w:t>, 5/281-290. (op. rev.)</w:t>
      </w:r>
    </w:p>
  </w:footnote>
  <w:footnote w:id="4">
    <w:p w:rsidR="005A10C8" w:rsidRPr="005A10C8" w:rsidRDefault="005A10C8" w:rsidP="005A10C8">
      <w:pPr>
        <w:pStyle w:val="FootnoteText"/>
        <w:jc w:val="both"/>
      </w:pPr>
      <w:r>
        <w:rPr>
          <w:rStyle w:val="FootnoteReference"/>
        </w:rPr>
        <w:footnoteRef/>
      </w:r>
      <w:r w:rsidRPr="005A10C8">
        <w:t xml:space="preserve"> </w:t>
      </w:r>
      <w:r w:rsidRPr="005A10C8">
        <w:rPr>
          <w:rFonts w:asciiTheme="majorBidi" w:hAnsiTheme="majorBidi" w:cstheme="majorBidi"/>
          <w:i/>
          <w:iCs/>
        </w:rPr>
        <w:t>Kiran</w:t>
      </w:r>
      <w:r w:rsidRPr="00884B26">
        <w:rPr>
          <w:rFonts w:asciiTheme="majorBidi" w:hAnsiTheme="majorBidi" w:cstheme="majorBidi"/>
        </w:rPr>
        <w:t xml:space="preserve"> je vrsta hadždža u kojoj hadžija samo hadždž i umru zajedno, i njemu je obavezno zaklati hadždžski kurban kao jedan od obreda hadždža. Njegov glavni tavaf i sa'j dovoljni su i za hadždž i za umru zajedno. Vidjeti: </w:t>
      </w:r>
      <w:r w:rsidRPr="00884B26">
        <w:rPr>
          <w:rFonts w:asciiTheme="majorBidi" w:hAnsiTheme="majorBidi" w:cstheme="majorBidi"/>
          <w:i/>
          <w:iCs/>
        </w:rPr>
        <w:t>el-Meusuatul-fikhijjetil-kuvejtijje</w:t>
      </w:r>
      <w:r w:rsidRPr="00884B26">
        <w:rPr>
          <w:rFonts w:asciiTheme="majorBidi" w:hAnsiTheme="majorBidi" w:cstheme="majorBidi"/>
        </w:rPr>
        <w:t>, 33/80-89. (op. rev.)</w:t>
      </w:r>
    </w:p>
  </w:footnote>
  <w:footnote w:id="5">
    <w:p w:rsidR="005A10C8" w:rsidRPr="005A10C8" w:rsidRDefault="005A10C8" w:rsidP="005A10C8">
      <w:pPr>
        <w:pStyle w:val="FootnoteText"/>
        <w:jc w:val="both"/>
      </w:pPr>
      <w:r>
        <w:rPr>
          <w:rStyle w:val="FootnoteReference"/>
        </w:rPr>
        <w:footnoteRef/>
      </w:r>
      <w:r w:rsidRPr="005A10C8">
        <w:t xml:space="preserve"> </w:t>
      </w:r>
      <w:r w:rsidRPr="004316B2">
        <w:rPr>
          <w:rFonts w:asciiTheme="majorBidi" w:hAnsiTheme="majorBidi" w:cstheme="majorBidi"/>
          <w:i/>
          <w:iCs/>
        </w:rPr>
        <w:t>Temettu'</w:t>
      </w:r>
      <w:r w:rsidRPr="00884B26">
        <w:rPr>
          <w:rFonts w:asciiTheme="majorBidi" w:hAnsiTheme="majorBidi" w:cstheme="majorBidi"/>
        </w:rPr>
        <w:t xml:space="preserve"> je vrsta hadždža u kojoj hadžija prije hadždža najprije zanijeti i obavi umru (unutar hadždžskih mjeseci – ševval, zul-ka'de i zul-hidždže), a nakon završetka umre oslobađa se ihrama i osmog zul-hidždžeta zanijeti otpočinjanje obreda hadždža i odlazi na Minu. Obavezno mu je zaklati kurban. Vidjeti: </w:t>
      </w:r>
      <w:r w:rsidRPr="00884B26">
        <w:rPr>
          <w:rFonts w:asciiTheme="majorBidi" w:hAnsiTheme="majorBidi" w:cstheme="majorBidi"/>
          <w:i/>
          <w:iCs/>
        </w:rPr>
        <w:t>el-Meusuatul-fikhijjetil-kuvejtijje</w:t>
      </w:r>
      <w:r w:rsidRPr="00884B26">
        <w:rPr>
          <w:rFonts w:asciiTheme="majorBidi" w:hAnsiTheme="majorBidi" w:cstheme="majorBidi"/>
        </w:rPr>
        <w:t>, 14/6-15. (op. rev.)</w:t>
      </w:r>
    </w:p>
  </w:footnote>
  <w:footnote w:id="6">
    <w:p w:rsidR="00631374" w:rsidRPr="005A10C8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Bilje</w:t>
      </w:r>
      <w:r w:rsidRPr="005A10C8">
        <w:rPr>
          <w:rFonts w:asciiTheme="majorBidi" w:hAnsiTheme="majorBidi" w:cstheme="majorBidi"/>
        </w:rPr>
        <w:t>ž</w:t>
      </w:r>
      <w:r w:rsidRPr="00884B26">
        <w:rPr>
          <w:rFonts w:asciiTheme="majorBidi" w:hAnsiTheme="majorBidi" w:cstheme="majorBidi"/>
        </w:rPr>
        <w:t>i</w:t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Buharija</w:t>
      </w:r>
      <w:r w:rsidRPr="005A10C8">
        <w:rPr>
          <w:rFonts w:asciiTheme="majorBidi" w:hAnsiTheme="majorBidi" w:cstheme="majorBidi"/>
        </w:rPr>
        <w:t xml:space="preserve">, </w:t>
      </w:r>
      <w:r w:rsidRPr="00884B26">
        <w:rPr>
          <w:rFonts w:asciiTheme="majorBidi" w:hAnsiTheme="majorBidi" w:cstheme="majorBidi"/>
        </w:rPr>
        <w:t>br</w:t>
      </w:r>
      <w:r w:rsidRPr="005A10C8">
        <w:rPr>
          <w:rFonts w:asciiTheme="majorBidi" w:hAnsiTheme="majorBidi" w:cstheme="majorBidi"/>
        </w:rPr>
        <w:t xml:space="preserve">. 5089., </w:t>
      </w:r>
      <w:r w:rsidRPr="00884B26">
        <w:rPr>
          <w:rFonts w:asciiTheme="majorBidi" w:hAnsiTheme="majorBidi" w:cstheme="majorBidi"/>
        </w:rPr>
        <w:t>i</w:t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ovo</w:t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je</w:t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njegova</w:t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verzija</w:t>
      </w:r>
      <w:r w:rsidRPr="005A10C8">
        <w:rPr>
          <w:rFonts w:asciiTheme="majorBidi" w:hAnsiTheme="majorBidi" w:cstheme="majorBidi"/>
        </w:rPr>
        <w:t xml:space="preserve">, </w:t>
      </w:r>
      <w:r w:rsidRPr="00884B26">
        <w:rPr>
          <w:rFonts w:asciiTheme="majorBidi" w:hAnsiTheme="majorBidi" w:cstheme="majorBidi"/>
        </w:rPr>
        <w:t>i</w:t>
      </w:r>
      <w:r w:rsidRPr="005A10C8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</w:rPr>
        <w:t>Muslim</w:t>
      </w:r>
      <w:r w:rsidRPr="005A10C8">
        <w:rPr>
          <w:rFonts w:asciiTheme="majorBidi" w:hAnsiTheme="majorBidi" w:cstheme="majorBidi"/>
        </w:rPr>
        <w:t xml:space="preserve">, </w:t>
      </w:r>
      <w:r w:rsidRPr="00884B26">
        <w:rPr>
          <w:rFonts w:asciiTheme="majorBidi" w:hAnsiTheme="majorBidi" w:cstheme="majorBidi"/>
        </w:rPr>
        <w:t>br</w:t>
      </w:r>
      <w:r w:rsidRPr="005A10C8">
        <w:rPr>
          <w:rFonts w:asciiTheme="majorBidi" w:hAnsiTheme="majorBidi" w:cstheme="majorBidi"/>
        </w:rPr>
        <w:t>. 1207.</w:t>
      </w:r>
    </w:p>
  </w:footnote>
  <w:footnote w:id="7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1534.</w:t>
      </w:r>
    </w:p>
  </w:footnote>
  <w:footnote w:id="8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  <w:rtl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1549., i Muslim, br. 1184.</w:t>
      </w:r>
    </w:p>
  </w:footnote>
  <w:footnote w:id="9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Hadis je ispravan, a bilježe ga Nesai, br. 2752., i ovo je njegova verzija, i Ibn Madžeh, br. 2920.</w:t>
      </w:r>
    </w:p>
  </w:footnote>
  <w:footnote w:id="10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Hadis je ispravan, a bilježe ga Tirmizi, br. 828., i ovo je njegova verzija, i Ibn Madžeh, br. 2921.</w:t>
      </w:r>
    </w:p>
  </w:footnote>
  <w:footnote w:id="11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</w:t>
      </w:r>
      <w:r w:rsidRPr="00884B26">
        <w:rPr>
          <w:rFonts w:asciiTheme="majorBidi" w:hAnsiTheme="majorBidi" w:cstheme="majorBidi"/>
          <w:color w:val="000000" w:themeColor="text1"/>
        </w:rPr>
        <w:t>Gaće, pantalone, dugačke gaće, sve što ima nogavice. (op. rev.)</w:t>
      </w:r>
    </w:p>
  </w:footnote>
  <w:footnote w:id="12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Žuta biljka slični susamu, lijepog mirisa i koristi se za bojenje. Vidjeti: es-Sefarini, </w:t>
      </w:r>
      <w:r w:rsidRPr="00884B26">
        <w:rPr>
          <w:rFonts w:asciiTheme="majorBidi" w:hAnsiTheme="majorBidi" w:cstheme="majorBidi"/>
          <w:i/>
          <w:iCs/>
        </w:rPr>
        <w:t>Keššaful-lisam šerhu umdetil-ahkam</w:t>
      </w:r>
      <w:r w:rsidRPr="00884B26">
        <w:rPr>
          <w:rFonts w:asciiTheme="majorBidi" w:hAnsiTheme="majorBidi" w:cstheme="majorBidi"/>
        </w:rPr>
        <w:t>, 4/118. (op. rev.)</w:t>
      </w:r>
    </w:p>
  </w:footnote>
  <w:footnote w:id="13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1542., i ovo je njegova verzija, i Muslim, br. 1177.</w:t>
      </w:r>
    </w:p>
  </w:footnote>
  <w:footnote w:id="14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2697., i Muslim, br. 1718.</w:t>
      </w:r>
    </w:p>
  </w:footnote>
  <w:footnote w:id="15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Kaže šejh Muhammed ibn Salih el-Usejmin: „Ihram ne sprečava ženu da se ukrašava, ali joj je obaveza da te ukrase ne pokazuje pred muškarcima. Kada je sama kod kuće, ili u društvu žena, ili sa mužem, ili sa onima koji su joj mahrem, nema smetnje da se ukrasi.“ Vidjeti: </w:t>
      </w:r>
      <w:r w:rsidRPr="00884B26">
        <w:rPr>
          <w:rFonts w:asciiTheme="majorBidi" w:hAnsiTheme="majorBidi" w:cstheme="majorBidi"/>
          <w:i/>
          <w:iCs/>
        </w:rPr>
        <w:t>eš-Šerhul-mumti'</w:t>
      </w:r>
      <w:r w:rsidRPr="00884B26">
        <w:rPr>
          <w:rFonts w:asciiTheme="majorBidi" w:hAnsiTheme="majorBidi" w:cstheme="majorBidi"/>
        </w:rPr>
        <w:t>, 7/166. (op. rev.)</w:t>
      </w:r>
    </w:p>
  </w:footnote>
  <w:footnote w:id="16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Muslim, br. 1297.</w:t>
      </w:r>
    </w:p>
  </w:footnote>
  <w:footnote w:id="17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1829., i Musim, br. 1198., i ovo je njegova verzija.</w:t>
      </w:r>
    </w:p>
  </w:footnote>
  <w:footnote w:id="18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Tj. onaj ko obavlja hadždž </w:t>
      </w:r>
      <w:r w:rsidRPr="00884B26">
        <w:rPr>
          <w:rFonts w:asciiTheme="majorBidi" w:hAnsiTheme="majorBidi" w:cstheme="majorBidi"/>
          <w:i/>
          <w:iCs/>
        </w:rPr>
        <w:t>temettu'</w:t>
      </w:r>
      <w:r w:rsidRPr="00884B26">
        <w:rPr>
          <w:rFonts w:asciiTheme="majorBidi" w:hAnsiTheme="majorBidi" w:cstheme="majorBidi"/>
        </w:rPr>
        <w:t xml:space="preserve"> nakon što obavi umru prije hadždža i pošiša ili obrije kosu (što predstavlja završetak te umre) može činiti sve što je inače u ihramima zabranjeno (mahzuratul-ihram) ako ne planira da kolje kurban za bajram, dok, ako planira klati kurban za bajram, ne treba činiti ništa od mahzuratul-ihram osim brijanja ili kraćenja kose na kraju spomenute umre. (op. rev.)</w:t>
      </w:r>
    </w:p>
  </w:footnote>
  <w:footnote w:id="19">
    <w:p w:rsidR="00631374" w:rsidRPr="00884B26" w:rsidRDefault="00631374" w:rsidP="005A10C8">
      <w:pPr>
        <w:pStyle w:val="FootnoteText"/>
        <w:jc w:val="both"/>
        <w:rPr>
          <w:rFonts w:asciiTheme="majorBidi" w:hAnsiTheme="majorBidi" w:cstheme="majorBidi"/>
        </w:rPr>
      </w:pPr>
      <w:r w:rsidRPr="00884B26">
        <w:rPr>
          <w:rStyle w:val="FootnoteReference"/>
          <w:rFonts w:asciiTheme="majorBidi" w:hAnsiTheme="majorBidi" w:cstheme="majorBidi"/>
        </w:rPr>
        <w:footnoteRef/>
      </w:r>
      <w:r w:rsidRPr="00884B26">
        <w:rPr>
          <w:rFonts w:asciiTheme="majorBidi" w:hAnsiTheme="majorBidi" w:cstheme="majorBidi"/>
        </w:rPr>
        <w:t xml:space="preserve"> Bilježi Buharija, br. 1267., i ovo je njegova verzija, i Muslim, br. 1206.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DE36E2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0C3A23" w:rsidRDefault="000C3A23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  <w:t>Propisi vezani za mikate</w:t>
                  </w: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="00AD72A0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D72A0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84090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6</w:t>
                  </w:r>
                  <w:r w:rsidR="00AD72A0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DE36E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E36E2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B531C"/>
    <w:rsid w:val="000C2B16"/>
    <w:rsid w:val="000C3A23"/>
    <w:rsid w:val="000D5816"/>
    <w:rsid w:val="000E3FE3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21B20"/>
    <w:rsid w:val="0023307B"/>
    <w:rsid w:val="00235692"/>
    <w:rsid w:val="00267C61"/>
    <w:rsid w:val="00270AE8"/>
    <w:rsid w:val="00284090"/>
    <w:rsid w:val="00285CF8"/>
    <w:rsid w:val="00286D09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39D0"/>
    <w:rsid w:val="00317B3C"/>
    <w:rsid w:val="003238D3"/>
    <w:rsid w:val="00347608"/>
    <w:rsid w:val="00355520"/>
    <w:rsid w:val="00365CB9"/>
    <w:rsid w:val="00371452"/>
    <w:rsid w:val="003947B2"/>
    <w:rsid w:val="003A526E"/>
    <w:rsid w:val="003B6818"/>
    <w:rsid w:val="003E1AC6"/>
    <w:rsid w:val="00413533"/>
    <w:rsid w:val="00437EF4"/>
    <w:rsid w:val="00447B55"/>
    <w:rsid w:val="00451428"/>
    <w:rsid w:val="004554F2"/>
    <w:rsid w:val="00471515"/>
    <w:rsid w:val="00477478"/>
    <w:rsid w:val="004C1156"/>
    <w:rsid w:val="004E2AD6"/>
    <w:rsid w:val="004E2DC3"/>
    <w:rsid w:val="004E38A0"/>
    <w:rsid w:val="004E78EF"/>
    <w:rsid w:val="00534606"/>
    <w:rsid w:val="00534E52"/>
    <w:rsid w:val="00536D3B"/>
    <w:rsid w:val="005666DC"/>
    <w:rsid w:val="00575281"/>
    <w:rsid w:val="0058544F"/>
    <w:rsid w:val="005A10C8"/>
    <w:rsid w:val="005A2707"/>
    <w:rsid w:val="005A6C9C"/>
    <w:rsid w:val="00604920"/>
    <w:rsid w:val="0061210E"/>
    <w:rsid w:val="00612832"/>
    <w:rsid w:val="00631374"/>
    <w:rsid w:val="00631E7F"/>
    <w:rsid w:val="00632FB4"/>
    <w:rsid w:val="00662A2B"/>
    <w:rsid w:val="00677AE4"/>
    <w:rsid w:val="0069533C"/>
    <w:rsid w:val="006A0AF4"/>
    <w:rsid w:val="006C1068"/>
    <w:rsid w:val="006E0420"/>
    <w:rsid w:val="006F4219"/>
    <w:rsid w:val="00717FAE"/>
    <w:rsid w:val="00770B0C"/>
    <w:rsid w:val="0077162A"/>
    <w:rsid w:val="007A7E2F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7638D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26716"/>
    <w:rsid w:val="00A61E5C"/>
    <w:rsid w:val="00A65935"/>
    <w:rsid w:val="00AD2A33"/>
    <w:rsid w:val="00AD72A0"/>
    <w:rsid w:val="00B03B03"/>
    <w:rsid w:val="00B34CF7"/>
    <w:rsid w:val="00B3510F"/>
    <w:rsid w:val="00B42CD1"/>
    <w:rsid w:val="00B50A3A"/>
    <w:rsid w:val="00B572EF"/>
    <w:rsid w:val="00B820AA"/>
    <w:rsid w:val="00B867C5"/>
    <w:rsid w:val="00B962D1"/>
    <w:rsid w:val="00BA456F"/>
    <w:rsid w:val="00BB2E79"/>
    <w:rsid w:val="00BC17E3"/>
    <w:rsid w:val="00BD190F"/>
    <w:rsid w:val="00BE3A50"/>
    <w:rsid w:val="00BF04A9"/>
    <w:rsid w:val="00C03201"/>
    <w:rsid w:val="00C21104"/>
    <w:rsid w:val="00C37C22"/>
    <w:rsid w:val="00C45A48"/>
    <w:rsid w:val="00C50098"/>
    <w:rsid w:val="00C65965"/>
    <w:rsid w:val="00C72B59"/>
    <w:rsid w:val="00C72BD4"/>
    <w:rsid w:val="00C77532"/>
    <w:rsid w:val="00C90E54"/>
    <w:rsid w:val="00CD4735"/>
    <w:rsid w:val="00D07702"/>
    <w:rsid w:val="00D46176"/>
    <w:rsid w:val="00D7109D"/>
    <w:rsid w:val="00D85A5F"/>
    <w:rsid w:val="00DB48B2"/>
    <w:rsid w:val="00DC6A8E"/>
    <w:rsid w:val="00DE36E2"/>
    <w:rsid w:val="00DF7E4B"/>
    <w:rsid w:val="00E0449C"/>
    <w:rsid w:val="00E210FF"/>
    <w:rsid w:val="00E25D4B"/>
    <w:rsid w:val="00E31846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0F7C"/>
    <w:rsid w:val="00F80820"/>
    <w:rsid w:val="00F916A6"/>
    <w:rsid w:val="00F95482"/>
    <w:rsid w:val="00FD706F"/>
    <w:rsid w:val="00FE312B"/>
    <w:rsid w:val="00FE31D8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599A2F4E-C820-472C-9451-4E440257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5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221B20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1B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29A15-46B3-49CF-9808-3101B044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2816</Words>
  <Characters>13772</Characters>
  <Application>Microsoft Office Word</Application>
  <DocSecurity>0</DocSecurity>
  <Lines>286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16492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Propisi vezani za ihram</dc:title>
  <dc:subject>Propisi vezani za ihram</dc:subject>
  <dc:creator>Muhammed ibn Ibrahim et-Tuvejdžiri</dc:creator>
  <cp:keywords>Propisi vezani za ihram</cp:keywords>
  <dc:description>Propisi vezani za ihram</dc:description>
  <cp:lastModifiedBy>elhashemy</cp:lastModifiedBy>
  <cp:revision>6</cp:revision>
  <cp:lastPrinted>2015-07-02T17:22:00Z</cp:lastPrinted>
  <dcterms:created xsi:type="dcterms:W3CDTF">2015-09-20T00:51:00Z</dcterms:created>
  <dcterms:modified xsi:type="dcterms:W3CDTF">2015-09-22T04:19:00Z</dcterms:modified>
  <cp:category/>
</cp:coreProperties>
</file>