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534606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534606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534606" w:rsidRDefault="000C3A23" w:rsidP="000C3A23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72"/>
          <w:szCs w:val="72"/>
          <w:lang w:bidi="ar-EG"/>
        </w:rPr>
      </w:pPr>
      <w:r>
        <w:rPr>
          <w:rFonts w:asciiTheme="majorBidi" w:hAnsiTheme="majorBidi" w:cstheme="majorBidi"/>
          <w:color w:val="205B83"/>
          <w:sz w:val="72"/>
          <w:szCs w:val="72"/>
          <w:lang w:bidi="ar-EG"/>
        </w:rPr>
        <w:t>Propisi vezani za mikate</w:t>
      </w:r>
    </w:p>
    <w:p w:rsidR="00A03054" w:rsidRPr="00534606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534606" w:rsidRDefault="000C3A23" w:rsidP="000C3A23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>
        <w:rPr>
          <w:rFonts w:asciiTheme="majorBidi" w:hAnsiTheme="majorBidi" w:cs="KFGQPC Uthman Taha Naskh" w:hint="cs"/>
          <w:sz w:val="40"/>
          <w:szCs w:val="40"/>
          <w:rtl/>
        </w:rPr>
        <w:t>المواقيت</w:t>
      </w:r>
    </w:p>
    <w:p w:rsidR="00912D68" w:rsidRPr="00534606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534606" w:rsidRDefault="00A03054" w:rsidP="00221B2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534606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221B20" w:rsidRPr="00534606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البوسنية</w:t>
      </w:r>
      <w:r w:rsidRPr="00534606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534606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534606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054" w:rsidRPr="00534606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534606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534606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7638D" w:rsidRDefault="00221B20" w:rsidP="0087638D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8"/>
          <w:szCs w:val="48"/>
          <w:lang w:bidi="ar-EG"/>
        </w:rPr>
      </w:pPr>
      <w:r w:rsidRPr="00534606">
        <w:rPr>
          <w:rFonts w:asciiTheme="majorBidi" w:hAnsiTheme="majorBidi" w:cstheme="majorBidi"/>
          <w:color w:val="205B83"/>
          <w:sz w:val="48"/>
          <w:szCs w:val="48"/>
          <w:lang w:bidi="ar-EG"/>
        </w:rPr>
        <w:t xml:space="preserve">Muhammed </w:t>
      </w:r>
      <w:r w:rsidR="0087638D">
        <w:rPr>
          <w:rFonts w:asciiTheme="majorBidi" w:hAnsiTheme="majorBidi" w:cstheme="majorBidi"/>
          <w:color w:val="205B83"/>
          <w:sz w:val="48"/>
          <w:szCs w:val="48"/>
          <w:lang w:bidi="ar-EG"/>
        </w:rPr>
        <w:t>ibn Ibrahim et-Tuvejdžiri</w:t>
      </w:r>
    </w:p>
    <w:p w:rsidR="00912D68" w:rsidRPr="00534606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534606" w:rsidRDefault="00221B20" w:rsidP="0087638D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</w:rPr>
      </w:pPr>
      <w:r w:rsidRPr="00534606">
        <w:rPr>
          <w:rFonts w:asciiTheme="majorBidi" w:hAnsiTheme="majorBidi" w:cs="KFGQPC Uthman Taha Naskh"/>
          <w:sz w:val="36"/>
          <w:szCs w:val="36"/>
          <w:rtl/>
          <w:lang w:bidi="ar-EG"/>
        </w:rPr>
        <w:t xml:space="preserve">محمد </w:t>
      </w:r>
      <w:r w:rsidR="0087638D">
        <w:rPr>
          <w:rFonts w:asciiTheme="majorBidi" w:hAnsiTheme="majorBidi" w:cs="KFGQPC Uthman Taha Naskh" w:hint="cs"/>
          <w:sz w:val="36"/>
          <w:szCs w:val="36"/>
          <w:rtl/>
          <w:lang w:bidi="ar-EG"/>
        </w:rPr>
        <w:t>بن إبراهيم التويجري</w:t>
      </w:r>
    </w:p>
    <w:p w:rsidR="00A03054" w:rsidRPr="00534606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</w:rPr>
      </w:pPr>
    </w:p>
    <w:p w:rsidR="00A03054" w:rsidRPr="00534606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534606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534606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534606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534606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534606" w:rsidRDefault="00D07702" w:rsidP="00221B20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 w:rsidRPr="00534606">
        <w:rPr>
          <w:rFonts w:asciiTheme="majorBidi" w:hAnsiTheme="majorBidi" w:cstheme="majorBidi"/>
          <w:color w:val="205B83"/>
          <w:sz w:val="40"/>
          <w:szCs w:val="40"/>
          <w:lang w:bidi="ar-EG"/>
        </w:rPr>
        <w:t>Prevodilac</w:t>
      </w:r>
      <w:r w:rsidR="00A03054" w:rsidRPr="00534606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: </w:t>
      </w:r>
      <w:r w:rsidR="00221B20" w:rsidRPr="00534606">
        <w:rPr>
          <w:rFonts w:asciiTheme="majorBidi" w:hAnsiTheme="majorBidi" w:cstheme="majorBidi"/>
          <w:color w:val="205B83"/>
          <w:sz w:val="40"/>
          <w:szCs w:val="40"/>
          <w:lang w:bidi="ar-EG"/>
        </w:rPr>
        <w:t>Senad Muhić</w:t>
      </w:r>
    </w:p>
    <w:p w:rsidR="00912D68" w:rsidRPr="00534606" w:rsidRDefault="00D07702" w:rsidP="00D07702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 w:rsidRPr="00534606">
        <w:rPr>
          <w:rFonts w:asciiTheme="majorBidi" w:hAnsiTheme="majorBidi" w:cstheme="majorBidi"/>
          <w:color w:val="205B83"/>
          <w:sz w:val="40"/>
          <w:szCs w:val="40"/>
          <w:lang w:bidi="ar-EG"/>
        </w:rPr>
        <w:t>Revizor</w:t>
      </w:r>
      <w:r w:rsidR="00A03054" w:rsidRPr="00534606">
        <w:rPr>
          <w:rFonts w:asciiTheme="majorBidi" w:hAnsiTheme="majorBidi" w:cstheme="majorBidi"/>
          <w:color w:val="205B83"/>
          <w:sz w:val="40"/>
          <w:szCs w:val="40"/>
          <w:lang w:bidi="ar-EG"/>
        </w:rPr>
        <w:t>:</w:t>
      </w:r>
      <w:r w:rsidR="00221B20" w:rsidRPr="00534606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Ersan Grahovac</w:t>
      </w:r>
    </w:p>
    <w:p w:rsidR="00A03054" w:rsidRPr="00534606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534606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03054" w:rsidRPr="00534606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534606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ترجمة: </w:t>
      </w:r>
      <w:r w:rsidR="00221B20" w:rsidRPr="00534606">
        <w:rPr>
          <w:rFonts w:asciiTheme="majorBidi" w:hAnsiTheme="majorBidi" w:cs="KFGQPC Uthman Taha Naskh"/>
          <w:b/>
          <w:bCs/>
          <w:sz w:val="32"/>
          <w:szCs w:val="32"/>
          <w:rtl/>
        </w:rPr>
        <w:t>سناد موهيتش</w:t>
      </w:r>
    </w:p>
    <w:p w:rsidR="008B3703" w:rsidRPr="00534606" w:rsidRDefault="00A03054" w:rsidP="00221B2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lang w:bidi="ar-EG"/>
        </w:rPr>
        <w:sectPr w:rsidR="008B3703" w:rsidRPr="00534606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534606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221B20" w:rsidRPr="00534606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: أرسان غراهوفاتس</w:t>
      </w:r>
    </w:p>
    <w:p w:rsidR="00E942BB" w:rsidRPr="00534606" w:rsidRDefault="00E942BB" w:rsidP="0061210E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534606" w:rsidRDefault="00E942BB" w:rsidP="000C3A23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6"/>
          <w:szCs w:val="36"/>
          <w:lang w:bidi="ar-EG"/>
        </w:rPr>
      </w:pPr>
      <w:r w:rsidRPr="00534606">
        <w:rPr>
          <w:rFonts w:asciiTheme="majorBidi" w:hAnsiTheme="majorBidi" w:cstheme="majorBidi"/>
          <w:noProof/>
          <w:color w:val="205B83"/>
          <w:sz w:val="36"/>
          <w:szCs w:val="36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457522</wp:posOffset>
            </wp:positionH>
            <wp:positionV relativeFrom="paragraph">
              <wp:posOffset>202280</wp:posOffset>
            </wp:positionV>
            <wp:extent cx="4763069" cy="382138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069" cy="382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3A23">
        <w:rPr>
          <w:rFonts w:asciiTheme="majorBidi" w:hAnsiTheme="majorBidi" w:cstheme="majorBidi"/>
          <w:color w:val="205B83"/>
          <w:sz w:val="36"/>
          <w:szCs w:val="36"/>
          <w:lang w:bidi="ar-EG"/>
        </w:rPr>
        <w:t>Propisi vezani za mikate</w:t>
      </w:r>
      <w:r w:rsidR="00221B20" w:rsidRPr="00534606">
        <w:rPr>
          <w:rFonts w:asciiTheme="majorBidi" w:hAnsiTheme="majorBidi" w:cstheme="majorBidi"/>
          <w:color w:val="205B83"/>
          <w:sz w:val="36"/>
          <w:szCs w:val="36"/>
          <w:lang w:bidi="ar-EG"/>
        </w:rPr>
        <w:t xml:space="preserve"> </w:t>
      </w:r>
    </w:p>
    <w:p w:rsidR="00E942BB" w:rsidRPr="00534606" w:rsidRDefault="00E942BB" w:rsidP="0061210E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534606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534606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E942BB" w:rsidRPr="00534606" w:rsidRDefault="00E942BB" w:rsidP="0061210E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sz w:val="30"/>
          <w:szCs w:val="30"/>
          <w:rtl/>
          <w:lang w:bidi="ar-EG"/>
        </w:rPr>
      </w:pPr>
    </w:p>
    <w:p w:rsidR="00FE31D8" w:rsidRPr="003111FF" w:rsidRDefault="00FE31D8" w:rsidP="00FE31D8">
      <w:pPr>
        <w:bidi w:val="0"/>
        <w:spacing w:after="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ab/>
      </w: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Mikati</w:t>
      </w:r>
    </w:p>
    <w:p w:rsidR="00FE31D8" w:rsidRPr="003111FF" w:rsidRDefault="00FE31D8" w:rsidP="00FE31D8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Mikat je pojam kojim se označava mjesto i vrijeme ibadeta.</w:t>
      </w:r>
    </w:p>
    <w:p w:rsidR="00FE31D8" w:rsidRPr="003111FF" w:rsidRDefault="00FE31D8" w:rsidP="00FE31D8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FE31D8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Mudrost određivanja mikata</w:t>
      </w: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Imajući u vidu da je Allah Uzvišeni Svoju kuću Ka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'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bu učinio svetom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i poštovanom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, On je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,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također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,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učinio da zaštita te Kuće bude Mekka, a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oko nje sveti prostor –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mekkanski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harem.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Harem ima svoju zaštitnu terito</w:t>
      </w:r>
      <w:bookmarkStart w:id="0" w:name="_GoBack"/>
      <w:bookmarkEnd w:id="0"/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riju koju ograničavaju mikati,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koje nije dozvoljeno preći bez ihrama, ukoliko čovjek ide na hadždž ili umru, a sve to iz počasti prema Allahu, i Njegovoj kući, te iz počasti prema onima koji tu Kuću posjećuju.</w:t>
      </w:r>
    </w:p>
    <w:p w:rsidR="00FE31D8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</w:p>
    <w:p w:rsidR="00FE31D8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Vrste mikata</w:t>
      </w: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Postoje dvije vrste mikata:</w:t>
      </w: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1.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Vremenski mikati, i k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a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da je u pitanju hadždž, njegov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vremenski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mikat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je u mjesecima ševvalu, zu-l-ka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'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deu, zu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l-hidždžetu, a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kada je u pitanju umra ona se može obavljati u bilo koje doba godine.</w:t>
      </w: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Čovjek može u obrede hadždža u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ći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prvog dana mjeseca ševvala, a zadnje vrijeme do kad može ući u obrede hadždža je prije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zore prvog dana kurbanskog bajrama.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Svi obredi hadždža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završavaju se sa zalaskom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S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unca trinaest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og dana mjeseca zu-l-hidždžeta,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osim oprosnog tavafa, te tavafa i sa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'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ja za onoga ko ima opravdanje,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što se može obaviti do kraja mjeseca zul-hidždže.</w:t>
      </w:r>
    </w:p>
    <w:p w:rsidR="00FE31D8" w:rsidRDefault="00FE31D8" w:rsidP="00FE31D8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7E21F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2. Mikati vezani za mjesto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 xml:space="preserve">.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To su mjesta od kojih onaj koji želi obaviti hadždž ili umru, ulazi u ihram i počinje sa obredima.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Tih mikata ima pet:</w:t>
      </w:r>
    </w:p>
    <w:p w:rsidR="00FE31D8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Prvi: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Zu-l-Hulejfa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, i t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o je mikat za stanovnike Medine i one koji dolaze sa te strane.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On je od Mekke udaljen oko četiri stotine i dvadeset kilometara i predstavlja najudaljeniji mikat od Mekke.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Također se naziva i </w:t>
      </w:r>
      <w:r w:rsidRPr="003111F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Vadi-l-akik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, a džamija koja se tu nalazi naziva se </w:t>
      </w:r>
      <w:r w:rsidRPr="003111F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Mesdžidu-š-šedžereh.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Ovaj mikat se nalazi južno od Medine, a udaljen je trinaest kilometara od Poslanikove džamije.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Onome ko je ušao u ihrame, pohvalno je da klanja namaz u toj dolini gdje je mikat.</w:t>
      </w:r>
    </w:p>
    <w:p w:rsidR="00FE31D8" w:rsidRDefault="00FE31D8" w:rsidP="00FE31D8">
      <w:pPr>
        <w:bidi w:val="0"/>
        <w:spacing w:after="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</w:p>
    <w:p w:rsidR="00FE31D8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382905</wp:posOffset>
            </wp:positionV>
            <wp:extent cx="3293110" cy="5080000"/>
            <wp:effectExtent l="1905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10" cy="5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Drugi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: Džuhfa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, i t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o je mikat stanovnika Šama, </w:t>
      </w:r>
      <w:r w:rsidRPr="00CB782E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Turske,</w:t>
      </w:r>
      <w:r>
        <w:rPr>
          <w:rFonts w:asciiTheme="majorBidi" w:hAnsiTheme="majorBidi" w:cstheme="majorBidi"/>
          <w:color w:val="FF0000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Egipta, Maroka i svih onih koji dolaze sa te strane.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To je selo istočno od </w:t>
      </w:r>
      <w:r w:rsidRPr="003111F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Rabiga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, a udaljen je od Mekke stotinu osamdeset šest kilometara.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U današnje vrijeme, ljudi ulaze u obrede u Rabigu koji se nalazi zapadno od nje, na obali mora.</w:t>
      </w:r>
    </w:p>
    <w:p w:rsidR="00FE31D8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FE31D8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Treći: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Jelemlem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, i t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o je mikat stanovnika Jemena i onih koji dolaze sa te strane.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Jelemlem predstavlja dolinu i brdo koj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i su udaljeni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od Mekke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oko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stotinu dvadeset kilometara.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U današnj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e vrijeme ljudi ulaze u obrede od </w:t>
      </w:r>
      <w:r w:rsidRPr="003111F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Sa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'</w:t>
      </w:r>
      <w:r w:rsidRPr="003111F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dije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koja se nalazi u dolini Jelemlema, sa strane zapadne obale.</w:t>
      </w: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Čevrti: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Karnu-l-menazil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, i t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o je mikat sa stanovnike Nedžda, Taifa i svih onih  koji dolaze sa te strane. Danas je on poznat pod imenom </w:t>
      </w:r>
      <w:r w:rsidRPr="003111F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Es-Sejlu-l-Kebir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, i udaljen je od Mekke, otprilike sedamdeset pet kilometara.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Dolina </w:t>
      </w:r>
      <w:r w:rsidRPr="003111F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Mahrem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je najuzvišenija tačka Karnu-l-menazila, a njime se do Mekke proteže poznati put El-Heda.</w:t>
      </w:r>
    </w:p>
    <w:p w:rsidR="00FE31D8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</w:p>
    <w:p w:rsidR="00FE31D8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Peti: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Zatu Irk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, i t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o je mikat Iračana i svih onih koji dolaze sa te strane. To je dolina koja se naziva </w:t>
      </w:r>
      <w:r w:rsidRPr="003111FF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bs-Latn-BA" w:bidi="ar-SY"/>
        </w:rPr>
        <w:t>Dariba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, a udaljena je od Mekke stotinu kilometara, otprilike.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Onaj ko stanuje u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nutar  granica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mikat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a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prema Mekki, ulazi u obrede sa mjesta gdje stanuje.</w:t>
      </w:r>
    </w:p>
    <w:p w:rsidR="00FE31D8" w:rsidRPr="003111FF" w:rsidRDefault="00FE31D8" w:rsidP="00FE31D8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Ibn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Abbas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,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radijallahu anhuma,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veli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da je Vjerovjesnik, sallallahu alejhi ve sellem, za Medinlije odredio mjesto i vrijeme stupanja u ihram Zul-Hulejfu, za stanovnike Šama Džuhfu, za Jemen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c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e Jelemlem, a za stanovnike Nedžda Karn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ul-menazil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. To su mjesta za njih i za svakog drugog ko bude preko njih dolazio i namjeravao obaviti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 xml:space="preserve">hadždž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i umru, a onaj ko je unutra iza tih mjesta, on stupa u ihram od svoga doma (porodice). Tako stanovnici Mekke stupaju u ihram iz same Mekke.</w:t>
      </w:r>
      <w:r w:rsidRPr="003111FF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footnoteReference w:id="1"/>
      </w:r>
    </w:p>
    <w:p w:rsidR="00FE31D8" w:rsidRPr="003111FF" w:rsidRDefault="00FE31D8" w:rsidP="00FE31D8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</w:p>
    <w:p w:rsidR="00FE31D8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Propis prelaska mikata bez ihrama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 xml:space="preserve"> – nijjeta otpočinjanja obreda</w:t>
      </w: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</w:pP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1. Nije dozvoljeno onome ko hoće da obavi hadždž ili umru da pređe mikat bez ihrama, a ko to učini obavezan je da se vrati do mikata i da obuče ihram.</w:t>
      </w: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2. Ko pređe mikat, a ne želi da obavi hadždž ili umru, a zatim nakon toga hoće da ih obavi, ući će u ihram na onome mjestu gdje mu se pojavila namjera za obavljanjem hadždža ili umre.</w:t>
      </w: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lastRenderedPageBreak/>
        <w:t>Osim kada je u pitanju samostalna umra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; ako je onaj ko je stigao u Mekku zanijeti, treba da izađe van granica harema, a ako je zanijeti van granica, onda će to učiniti tamo gdje se nalazi.</w:t>
      </w:r>
    </w:p>
    <w:p w:rsidR="00FE31D8" w:rsidRPr="003111FF" w:rsidRDefault="00FE31D8" w:rsidP="00FE31D8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FE31D8" w:rsidRPr="003111FF" w:rsidRDefault="00FE31D8" w:rsidP="00FE31D8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Mikat onih koji stanuju nakon što se pređe granica mikata prema Mekki</w:t>
      </w:r>
    </w:p>
    <w:p w:rsidR="00FE31D8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Ibn Abbas veli: „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Vjerovjesnik, sallallahu alejhi ve sellem, odredio je vrijeme i mjesto oblačenja ihrama: Zul-Hulejfu za Medinelije, Džuhfu za stanovnike Šama, Karnul-Menazil za stanovnike Nedžda, a Jelemlem za stanovnike Jemena. Ova su mjesta za njih i za svakog onog koji preko njih naiđe, namjeravajući obaviti hadždž ili umru. Za onog koji je iza toga mjesta unutra (između mikata i Mekke), on stupa u ihram ondje gdje je donio odluku za hadž. Tako će Mekkelija stupiti u ihram iz same Mekke.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“</w:t>
      </w:r>
      <w:r w:rsidRPr="003111FF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footnoteReference w:id="2"/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</w:p>
    <w:p w:rsidR="00FE31D8" w:rsidRPr="003111FF" w:rsidRDefault="00FE31D8" w:rsidP="00FE31D8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Mikat onoga ko pristiže u Mekku</w:t>
      </w:r>
    </w:p>
    <w:p w:rsidR="00FE31D8" w:rsidRPr="003111FF" w:rsidRDefault="00FE31D8" w:rsidP="00FE31D8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rtl/>
          <w:lang w:val="bs-Latn-BA" w:bidi="ar-SY"/>
        </w:rPr>
        <w:t>1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Ako onaj ko dolazi u Mekku nije nastanjen u Mekki, a želi da obavi hadždž i umru, onda će stupiti u obred na mikatu pored kojeg prolazi.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Ako takav obavlja ifrad ili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kiran hadždž, učiniće tavaf i s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a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'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j, a nakon toga će ostati u ihramima sve dok ne baci kamenčiće i ne ošiša se na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dan klanja kurbana, tj. prvog dana kurbanskog bajrama.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Ukoliko obavlja hadždž temettu', završiće sa umrom, skinuti ihrame, a zatim će zanijetiti hadždž osmog dana zu-l-hidždžeta i to sa mjesta na kojem se nalazi u Mekki.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Nakon toga će otići na Minu.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„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Pričao je Džabir b.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val="bs-Latn-BA"/>
        </w:rPr>
        <w:t xml:space="preserve"> 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Abdullah, radijallahu anhuma, da je on činio hadždž sa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val="bs-Latn-BA"/>
        </w:rPr>
        <w:t xml:space="preserve"> 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Vjerovjesnikom, sallallahu alejhi ve sellem, kada je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val="bs-Latn-BA"/>
        </w:rPr>
        <w:t xml:space="preserve"> 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on gonio sa sobom deve (kurbane), a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val="bs-Latn-BA"/>
        </w:rPr>
        <w:t xml:space="preserve"> 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ashabi su učinili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val="bs-Latn-BA"/>
        </w:rPr>
        <w:t xml:space="preserve"> 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ihram samo za hadž, pa im je Vjerovjesnik rekao: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val="bs-Latn-BA"/>
        </w:rPr>
        <w:t xml:space="preserve"> 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'Oslobodite se svojih ihrama po završenom tavafu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val="bs-Latn-BA"/>
        </w:rPr>
        <w:t xml:space="preserve"> 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oko Ka'be i sa'ju između Safe i Merve i pošišajte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val="bs-Latn-BA"/>
        </w:rPr>
        <w:t xml:space="preserve"> 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se, a potom ostanite kao slobodni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val="bs-Latn-BA"/>
        </w:rPr>
        <w:t xml:space="preserve"> 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dok ne bude nastupio osmi dan zul-hidžeta. Tada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val="bs-Latn-BA"/>
        </w:rPr>
        <w:t xml:space="preserve"> 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stupite u ihram za hadž, a ono što ste ranije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val="bs-Latn-BA"/>
        </w:rPr>
        <w:t xml:space="preserve"> 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uradili, učinite umrom!' 'Kako ćemo ga učiniti 'umrom, kada smo ga i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val="bs-Latn-BA"/>
        </w:rPr>
        <w:t xml:space="preserve"> 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imenovali hadžom?' – upitali su oni.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val="bs-Latn-BA"/>
        </w:rPr>
        <w:t xml:space="preserve"> 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'Činite onako kako sam vam naredio!' – rekao je on.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val="bs-Latn-BA"/>
        </w:rPr>
        <w:t xml:space="preserve"> 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'Da nisam gonio kurban, sigurno bih učinio isto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val="bs-Latn-BA"/>
        </w:rPr>
        <w:t xml:space="preserve"> 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to što sam i vama naredio. Meni, međutim, nije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val="bs-Latn-BA"/>
        </w:rPr>
        <w:t xml:space="preserve"> 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dozvoljeno ono što je (u ihramima) zabranjeno dok kurban ne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val="bs-Latn-BA"/>
        </w:rPr>
        <w:t xml:space="preserve"> 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stigne na svoje mjesto. '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val="bs-Latn-BA"/>
        </w:rPr>
        <w:t xml:space="preserve"> </w:t>
      </w:r>
      <w:r w:rsidRPr="0040452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Uradili su kako im je naređeno.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“</w:t>
      </w:r>
      <w:r w:rsidRPr="003111FF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footnoteReference w:id="3"/>
      </w:r>
    </w:p>
    <w:p w:rsidR="00FE31D8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2. Ko dođe u Mekku radi hadždža i umre, pa završi za obredima i nakon toga želi da obavi drugu umru za sebe ili nekog drugog, mora da izađe do nekog mjesta van granica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mekkanskog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harema, poput Ten'ima, kako bi sa tog mjesta zanijetio umru.</w:t>
      </w: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rtl/>
          <w:lang w:val="bs-Latn-BA" w:bidi="ar-SY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Ali ako obavi umru prije hadždža (i ostane unutar mekkanskog harema i želi učiniti hadždž)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onda može da ga zanijeti na mjestu na kojem se nalazi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unutar Mekke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Prenosi se da je Aiša, radijallahu 'anha zanijetila umru, pa kada je stigla nije tavafila oko Kabe, jer je dobila menstruaciju,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a pored toga je obavila sve obrede, te je zanijetila hadždž. Poslanik, sallallahu alejhi ve sellem, joj je na dan povratka sa Mine, kazao: „</w:t>
      </w:r>
      <w:r w:rsidRPr="00892FC5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Tvoj tavaf će ti biti dovoljan i za hadždž i za umru.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“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Ona se nije zadovoljila jednim tavafom, pa je sa njom poslao Abdurrahmana do Tenima, odakle je zanijetila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umru nakon što je obavila hadždž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Muttefekun 'alejh.</w:t>
      </w:r>
    </w:p>
    <w:p w:rsidR="00FE31D8" w:rsidRPr="003111FF" w:rsidRDefault="00FE31D8" w:rsidP="00FE31D8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rtl/>
          <w:lang w:val="bs-Latn-BA" w:bidi="ar-SY"/>
        </w:rPr>
      </w:pP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Način ulaska u ihram u avionu</w:t>
      </w:r>
    </w:p>
    <w:p w:rsidR="00FE31D8" w:rsidRPr="003111FF" w:rsidRDefault="00FE31D8" w:rsidP="00FE31D8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ab/>
      </w: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rtl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lastRenderedPageBreak/>
        <w:t>1.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Ko sjedne u avion želeći da krene na haždž ili umru ili oboje, treba da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zanijeti početak obreda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kada se približi mikatu iznad kojeg leti. Tada će obući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odjeću za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ih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ram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, i zanijetiti, a ako nema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odjeću za ihram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, onda će obući bilo koje platno koje se sastoji od dva dijela, poput čaršafa i sl.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Ako ni to ne nađe, onda će mu njegova odjeća (galabija) biti namjesto donje dijela ihrama, a komad platna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(šimag, gutra)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kojim se pokriva glava biti namjesto gornjeg djela ihrama.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Ako na njemu ne bude ta vrsta odjeće, nego samo hlače ili slično tome, onda će nanijetiti da mu to budu ihrami sve dok ne nađe ihrame.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Prenosi se o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d Ibn Abbasa, da je rekao: „</w:t>
      </w:r>
      <w:r w:rsidRPr="00E5634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 xml:space="preserve">Vjerovjesnik, sallallahu alejhi ve sellem, nam je držao hutbu na Arefatu i rekao: 'Ko nema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izar (ogrtač za donji dio tijela)</w:t>
      </w:r>
      <w:r w:rsidRPr="00E5634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 xml:space="preserve"> neka obuče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sirval (pantalone, dugačke gaće)</w:t>
      </w:r>
      <w:r w:rsidRPr="00E5634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 xml:space="preserve">, a ko nema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>nanule</w:t>
      </w:r>
      <w:r w:rsidRPr="00E56343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/>
        </w:rPr>
        <w:t xml:space="preserve"> neka obuje mestve.'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t>“</w:t>
      </w:r>
      <w:r w:rsidRPr="003111FF">
        <w:rPr>
          <w:rStyle w:val="FootnoteReference"/>
          <w:rFonts w:asciiTheme="majorBidi" w:hAnsiTheme="majorBidi" w:cstheme="majorBidi"/>
          <w:color w:val="000000" w:themeColor="text1"/>
          <w:sz w:val="24"/>
          <w:szCs w:val="24"/>
          <w:lang w:val="bs-Latn-BA"/>
        </w:rPr>
        <w:footnoteReference w:id="4"/>
      </w:r>
    </w:p>
    <w:p w:rsidR="00FE31D8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2.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Nije dozvoljeno onome ko želi da obavi hadždž ili umru da odgađa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nijjet ulaska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u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obrede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dok ne sleti na aerodrom u Džiddi.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Ako to uradi, onda mu je obaveza da se vrati do najbližeg mikata kako bi sa njega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zanijetio početak obreda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, a najbliži mikat u tom slučaju je Džuhfa.</w:t>
      </w: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3.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Ko dođe u Džiddu radi neke potrebe, a potom mu se pojavi želja da obavi umru, ući će u ihram na mjestu na kojem se nalazi.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 xml:space="preserve"> 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A onaj ko ode u Džiddu s ciljem obavljanja nekog posla, a nakon toga umre, ući će u ihram nakon što okonča posao, i to na najbližem mikatu, Džuhfi, a zatim će se zaputiti ka Mekki da obavi umru.</w:t>
      </w:r>
    </w:p>
    <w:p w:rsidR="00FE31D8" w:rsidRPr="003111FF" w:rsidRDefault="00FE31D8" w:rsidP="00FE31D8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bs-Latn-BA" w:bidi="ar-SY"/>
        </w:rPr>
        <w:t>Propis onoga ko prolazi pored dva mikata</w:t>
      </w:r>
    </w:p>
    <w:p w:rsidR="00FE31D8" w:rsidRPr="003111FF" w:rsidRDefault="00FE31D8" w:rsidP="00FE31D8">
      <w:pPr>
        <w:bidi w:val="0"/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ab/>
      </w: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Obaveza je onome ko želi obaviti hadždž ili umru, a prolazi pored dva m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ikata, da uđe u ihram na prvom m</w:t>
      </w: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ikatu koji mu dođe.</w:t>
      </w:r>
    </w:p>
    <w:p w:rsidR="00FE31D8" w:rsidRPr="003111FF" w:rsidRDefault="00FE31D8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</w:pPr>
      <w:r w:rsidRPr="003111FF">
        <w:rPr>
          <w:rFonts w:asciiTheme="majorBidi" w:hAnsiTheme="majorBidi" w:cstheme="majorBidi"/>
          <w:color w:val="000000" w:themeColor="text1"/>
          <w:sz w:val="24"/>
          <w:szCs w:val="24"/>
          <w:lang w:val="bs-Latn-BA" w:bidi="ar-SY"/>
        </w:rPr>
        <w:t>Ukoliko neko dolazi iz Egipta, Šama, Maroka ili iz Evrope, Amerike, i Afrike i prođe pored mikata Zul-Hulejfe prije nego što dođe do svog mikata Džuhfe, obaveza mu je da uđe u ihram na Zu-l-Hulejfi i nije mu dozvoljeno da prođe pored Zu-l-Hulejfe bez ihrama, jer je mikat mjesto ihrama za sve one koji žive tu i prolaze pored njega.</w:t>
      </w:r>
    </w:p>
    <w:p w:rsidR="005666DC" w:rsidRPr="0061210E" w:rsidRDefault="005666DC" w:rsidP="00FE31D8">
      <w:pPr>
        <w:bidi w:val="0"/>
        <w:spacing w:after="0"/>
        <w:ind w:firstLine="720"/>
        <w:jc w:val="both"/>
        <w:rPr>
          <w:rFonts w:asciiTheme="majorBidi" w:hAnsiTheme="majorBidi" w:cstheme="majorBidi"/>
          <w:color w:val="006666"/>
          <w:sz w:val="30"/>
          <w:szCs w:val="30"/>
          <w:lang w:val="bs-Latn-BA"/>
        </w:rPr>
      </w:pPr>
    </w:p>
    <w:sectPr w:rsidR="005666DC" w:rsidRPr="0061210E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DA8" w:rsidRDefault="00846DA8" w:rsidP="00E32771">
      <w:pPr>
        <w:spacing w:after="0" w:line="240" w:lineRule="auto"/>
      </w:pPr>
      <w:r>
        <w:separator/>
      </w:r>
    </w:p>
  </w:endnote>
  <w:endnote w:type="continuationSeparator" w:id="0">
    <w:p w:rsidR="00846DA8" w:rsidRDefault="00846DA8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3E704A22-9E8E-453C-A0E9-44660DAC8F98}"/>
    <w:embedBold r:id="rId2" w:fontKey="{60175E11-B220-48AE-B83F-22C8C0E554CC}"/>
    <w:embedItalic r:id="rId3" w:fontKey="{9E73C7FD-B00F-4EE6-9CF1-4E88BF389CD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5330B0C3-BA7E-4ADD-A235-508B1E2A61DC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5" w:fontKey="{0624982B-2B51-4E44-9959-50CE41C335AC}"/>
    <w:embedBold r:id="rId6" w:fontKey="{D3018DCA-9C13-490C-B9EF-3B8CC2387237}"/>
    <w:embedItalic r:id="rId7" w:fontKey="{9DDFC9DB-433B-42AD-B12E-C7839321558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8937E8BC-0D8E-40F5-9552-D2B9F3FAFF1F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9" w:fontKey="{3B38EF4D-1044-4AD4-A6EE-A9C2A2ECA2CA}"/>
    <w:embedBold r:id="rId10" w:fontKey="{5B068C06-BB8E-47BA-A23D-6A1FC546BFA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AB674994-8594-4099-9A55-4439B044353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91A6F75E-C58F-47F9-94D4-70C1D82591F3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3" w:fontKey="{18C1F447-8BB6-4934-BB87-419ED9E644B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846DA8">
    <w:pPr>
      <w:pStyle w:val="Footer"/>
      <w:rPr>
        <w:lang w:bidi="ar-EG"/>
      </w:rPr>
    </w:pPr>
    <w:r>
      <w:rPr>
        <w:rFonts w:asciiTheme="majorBidi" w:hAnsiTheme="majorBidi" w:cstheme="majorBidi"/>
        <w:noProof/>
      </w:rPr>
      <w:pict>
        <v:group id="Group 42" o:spid="_x0000_s2058" style="position:absolute;left:0;text-align:left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9" o:spid="_x0000_s2060" type="#_x0000_t75" style="position:absolute;left:26264;top:97;width:42120;height:29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<v:imagedata r:id="rId1" o:title="" croptop="-1f" cropbottom="-11268f" cropleft="1f" cropright="9351f"/>
            <v:path arrowok="t"/>
          </v:shape>
          <v:shape id="Picture 28" o:spid="_x0000_s2059" type="#_x0000_t75" style="position:absolute;width:25971;height:26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<v:imagedata r:id="rId1" o:title="" cropbottom="-482f" cropleft="22890f" cropright="876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DA8" w:rsidRDefault="00846DA8" w:rsidP="00E32771">
      <w:pPr>
        <w:spacing w:after="0" w:line="240" w:lineRule="auto"/>
      </w:pPr>
      <w:r>
        <w:separator/>
      </w:r>
    </w:p>
  </w:footnote>
  <w:footnote w:type="continuationSeparator" w:id="0">
    <w:p w:rsidR="00846DA8" w:rsidRDefault="00846DA8" w:rsidP="00E32771">
      <w:pPr>
        <w:spacing w:after="0" w:line="240" w:lineRule="auto"/>
      </w:pPr>
      <w:r>
        <w:continuationSeparator/>
      </w:r>
    </w:p>
  </w:footnote>
  <w:footnote w:id="1">
    <w:p w:rsidR="00FE31D8" w:rsidRPr="00E15089" w:rsidRDefault="00FE31D8" w:rsidP="00FE31D8">
      <w:pPr>
        <w:pStyle w:val="FootnoteText"/>
        <w:jc w:val="both"/>
        <w:rPr>
          <w:rFonts w:asciiTheme="majorBidi" w:hAnsiTheme="majorBidi" w:cstheme="majorBidi"/>
        </w:rPr>
      </w:pPr>
      <w:r w:rsidRPr="00E15089">
        <w:rPr>
          <w:rStyle w:val="FootnoteReference"/>
          <w:rFonts w:asciiTheme="majorBidi" w:hAnsiTheme="majorBidi" w:cstheme="majorBidi"/>
        </w:rPr>
        <w:footnoteRef/>
      </w:r>
      <w:r w:rsidRPr="00E15089">
        <w:rPr>
          <w:rFonts w:asciiTheme="majorBidi" w:hAnsiTheme="majorBidi" w:cstheme="majorBidi"/>
        </w:rPr>
        <w:t xml:space="preserve"> Bilježi Buharija, br. 1526., i ovo je njegova verzija, i Muslim, br. 1181.</w:t>
      </w:r>
    </w:p>
  </w:footnote>
  <w:footnote w:id="2">
    <w:p w:rsidR="00FE31D8" w:rsidRPr="00E15089" w:rsidRDefault="00FE31D8" w:rsidP="00FE31D8">
      <w:pPr>
        <w:pStyle w:val="FootnoteText"/>
        <w:jc w:val="both"/>
        <w:rPr>
          <w:rFonts w:asciiTheme="majorBidi" w:hAnsiTheme="majorBidi" w:cstheme="majorBidi"/>
        </w:rPr>
      </w:pPr>
      <w:r w:rsidRPr="00E15089">
        <w:rPr>
          <w:rStyle w:val="FootnoteReference"/>
          <w:rFonts w:asciiTheme="majorBidi" w:hAnsiTheme="majorBidi" w:cstheme="majorBidi"/>
        </w:rPr>
        <w:footnoteRef/>
      </w:r>
      <w:r w:rsidRPr="00E15089">
        <w:rPr>
          <w:rFonts w:asciiTheme="majorBidi" w:hAnsiTheme="majorBidi" w:cstheme="majorBidi"/>
        </w:rPr>
        <w:t xml:space="preserve"> Bilježi Buharija, br. 1524., i ovo je njegova verzija, i Muslim, br. 1181.</w:t>
      </w:r>
    </w:p>
  </w:footnote>
  <w:footnote w:id="3">
    <w:p w:rsidR="00FE31D8" w:rsidRPr="00E15089" w:rsidRDefault="00FE31D8" w:rsidP="00FE31D8">
      <w:pPr>
        <w:pStyle w:val="FootnoteText"/>
        <w:jc w:val="both"/>
        <w:rPr>
          <w:rFonts w:asciiTheme="majorBidi" w:hAnsiTheme="majorBidi" w:cstheme="majorBidi"/>
        </w:rPr>
      </w:pPr>
      <w:r w:rsidRPr="00E15089">
        <w:rPr>
          <w:rStyle w:val="FootnoteReference"/>
          <w:rFonts w:asciiTheme="majorBidi" w:hAnsiTheme="majorBidi" w:cstheme="majorBidi"/>
        </w:rPr>
        <w:footnoteRef/>
      </w:r>
      <w:r w:rsidRPr="00E15089">
        <w:rPr>
          <w:rFonts w:asciiTheme="majorBidi" w:hAnsiTheme="majorBidi" w:cstheme="majorBidi"/>
        </w:rPr>
        <w:t xml:space="preserve"> Bilježi Buharija, br. 1568., i ovo je njegova verzija, i Muslim, 1216.</w:t>
      </w:r>
    </w:p>
  </w:footnote>
  <w:footnote w:id="4">
    <w:p w:rsidR="00FE31D8" w:rsidRPr="00E15089" w:rsidRDefault="00FE31D8" w:rsidP="00FE31D8">
      <w:pPr>
        <w:pStyle w:val="FootnoteText"/>
        <w:jc w:val="both"/>
        <w:rPr>
          <w:rFonts w:asciiTheme="majorBidi" w:hAnsiTheme="majorBidi" w:cstheme="majorBidi"/>
        </w:rPr>
      </w:pPr>
      <w:r w:rsidRPr="00E15089">
        <w:rPr>
          <w:rStyle w:val="FootnoteReference"/>
          <w:rFonts w:asciiTheme="majorBidi" w:hAnsiTheme="majorBidi" w:cstheme="majorBidi"/>
        </w:rPr>
        <w:footnoteRef/>
      </w:r>
      <w:r w:rsidRPr="00E15089">
        <w:rPr>
          <w:rFonts w:asciiTheme="majorBidi" w:hAnsiTheme="majorBidi" w:cstheme="majorBidi"/>
        </w:rPr>
        <w:t xml:space="preserve"> Bilježi Buharija, br. 1843., i Muslim, br. 1178.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846DA8">
    <w:pPr>
      <w:pStyle w:val="Header"/>
    </w:pPr>
    <w:r>
      <w:rPr>
        <w:noProof/>
      </w:rPr>
      <w:pict>
        <v:group id="Group 1" o:spid="_x0000_s2064" style="position:absolute;left:0;text-align:left;margin-left:-46.65pt;margin-top:-14.4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8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>
              <w:txbxContent>
                <w:p w:rsidR="0013579E" w:rsidRPr="000C3A23" w:rsidRDefault="000C3A23" w:rsidP="00B572EF">
                  <w:pPr>
                    <w:bidi w:val="0"/>
                    <w:spacing w:before="80" w:after="0" w:line="240" w:lineRule="auto"/>
                    <w:ind w:firstLine="340"/>
                    <w:jc w:val="both"/>
                    <w:rPr>
                      <w:rFonts w:asciiTheme="majorBidi" w:hAnsiTheme="majorBidi" w:cstheme="majorBidi"/>
                      <w:color w:val="205B83"/>
                      <w:sz w:val="20"/>
                      <w:szCs w:val="20"/>
                      <w:lang w:bidi="ar-EG"/>
                    </w:rPr>
                  </w:pPr>
                  <w:r>
                    <w:rPr>
                      <w:rFonts w:asciiTheme="majorBidi" w:hAnsiTheme="majorBidi" w:cstheme="majorBidi"/>
                      <w:color w:val="205B83"/>
                      <w:sz w:val="20"/>
                      <w:szCs w:val="20"/>
                      <w:lang w:bidi="ar-EG"/>
                    </w:rPr>
                    <w:t>Propisi vezani za mikate</w:t>
                  </w:r>
                </w:p>
              </w:txbxContent>
            </v:textbox>
          </v:shape>
          <v:line id="Straight Connector 8" o:spid="_x0000_s2067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6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154ADE" w:rsidRDefault="0013579E" w:rsidP="00154ADE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  <w:r w:rsidRPr="00154ADE"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154ADE"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  <w:t xml:space="preserve"> </w:t>
                  </w:r>
                  <w:r w:rsidR="00F916A6"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F916A6" w:rsidRPr="00154ADE">
                    <w:rPr>
                      <w:rFonts w:asciiTheme="majorBidi" w:hAnsiTheme="majorBidi" w:cstheme="majorBidi"/>
                      <w:b/>
                      <w:bCs/>
                      <w:color w:val="205B83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595CA4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t>4</w:t>
                  </w:r>
                  <w:r w:rsidR="00F916A6" w:rsidRPr="00154ADE">
                    <w:rPr>
                      <w:rFonts w:asciiTheme="majorBidi" w:hAnsiTheme="majorBidi" w:cstheme="majorBidi"/>
                      <w:b/>
                      <w:bCs/>
                      <w:noProof/>
                      <w:color w:val="205B83"/>
                      <w:sz w:val="26"/>
                      <w:szCs w:val="26"/>
                      <w:lang w:bidi="ar-EG"/>
                    </w:rPr>
                    <w:fldChar w:fldCharType="end"/>
                  </w:r>
                  <w:r w:rsidRPr="00154ADE">
                    <w:rPr>
                      <w:rFonts w:asciiTheme="majorBidi" w:hAnsiTheme="majorBidi" w:cstheme="majorBidi"/>
                      <w:noProof/>
                      <w:color w:val="205B83"/>
                      <w:sz w:val="26"/>
                      <w:szCs w:val="26"/>
                      <w:lang w:bidi="ar-EG"/>
                    </w:rPr>
                    <w:t xml:space="preserve"> </w:t>
                  </w:r>
                  <w:r w:rsidRPr="00154ADE">
                    <w:rPr>
                      <w:rFonts w:asciiTheme="majorBidi" w:hAnsiTheme="majorBidi" w:cstheme="majorBidi"/>
                      <w:noProof/>
                      <w:color w:val="205B83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5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noProof/>
      </w:rPr>
      <w:pict>
        <v:group id="Group 19" o:spid="_x0000_s2061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3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<v:imagedata r:id="rId1" o:title="" recolortarget="#1c3259 [1448]"/>
            <v:path arrowok="t"/>
          </v:shape>
          <v:shape id="Picture 21" o:spid="_x0000_s2062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<v:imagedata r:id="rId2" o:title="" recolortarget="#1c3259 [1448]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846DA8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6" o:spid="_x0000_s2055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943955" w:rsidRDefault="000A6307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</w:pPr>
                  <w:r w:rsidRPr="00943955"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46DA8">
    <w:pPr>
      <w:pStyle w:val="Header"/>
      <w:rPr>
        <w:lang w:bidi="ar-EG"/>
      </w:rPr>
    </w:pPr>
    <w:r>
      <w:rPr>
        <w:noProof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embedTrueTypeFonts/>
  <w:embedSystemFonts/>
  <w:defaultTabStop w:val="720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503E"/>
    <w:rsid w:val="0000656E"/>
    <w:rsid w:val="00014A18"/>
    <w:rsid w:val="00054A51"/>
    <w:rsid w:val="000A43B4"/>
    <w:rsid w:val="000A53B5"/>
    <w:rsid w:val="000A6307"/>
    <w:rsid w:val="000B531C"/>
    <w:rsid w:val="000C2B16"/>
    <w:rsid w:val="000C3A23"/>
    <w:rsid w:val="000D5816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21B20"/>
    <w:rsid w:val="0023307B"/>
    <w:rsid w:val="00235692"/>
    <w:rsid w:val="00267C61"/>
    <w:rsid w:val="00270AE8"/>
    <w:rsid w:val="00285CF8"/>
    <w:rsid w:val="00286D09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39D0"/>
    <w:rsid w:val="00317B3C"/>
    <w:rsid w:val="003238D3"/>
    <w:rsid w:val="00347608"/>
    <w:rsid w:val="00355520"/>
    <w:rsid w:val="00365CB9"/>
    <w:rsid w:val="00371452"/>
    <w:rsid w:val="003947B2"/>
    <w:rsid w:val="003A526E"/>
    <w:rsid w:val="003E1AC6"/>
    <w:rsid w:val="00413533"/>
    <w:rsid w:val="00437EF4"/>
    <w:rsid w:val="00447B55"/>
    <w:rsid w:val="00451428"/>
    <w:rsid w:val="004554F2"/>
    <w:rsid w:val="00471515"/>
    <w:rsid w:val="00477478"/>
    <w:rsid w:val="004C1156"/>
    <w:rsid w:val="004E2AD6"/>
    <w:rsid w:val="004E2DC3"/>
    <w:rsid w:val="004E38A0"/>
    <w:rsid w:val="004E78EF"/>
    <w:rsid w:val="00534606"/>
    <w:rsid w:val="00534E52"/>
    <w:rsid w:val="00536D3B"/>
    <w:rsid w:val="005666DC"/>
    <w:rsid w:val="00575281"/>
    <w:rsid w:val="0058544F"/>
    <w:rsid w:val="00595CA4"/>
    <w:rsid w:val="005A2707"/>
    <w:rsid w:val="005A6C9C"/>
    <w:rsid w:val="00604920"/>
    <w:rsid w:val="0061210E"/>
    <w:rsid w:val="00612832"/>
    <w:rsid w:val="00631E7F"/>
    <w:rsid w:val="00632FB4"/>
    <w:rsid w:val="00662A2B"/>
    <w:rsid w:val="00677AE4"/>
    <w:rsid w:val="0069533C"/>
    <w:rsid w:val="006C1068"/>
    <w:rsid w:val="006E0420"/>
    <w:rsid w:val="006F4219"/>
    <w:rsid w:val="00717FAE"/>
    <w:rsid w:val="00770B0C"/>
    <w:rsid w:val="0077162A"/>
    <w:rsid w:val="007A7E2F"/>
    <w:rsid w:val="007C1387"/>
    <w:rsid w:val="007E5889"/>
    <w:rsid w:val="007E70EB"/>
    <w:rsid w:val="00814452"/>
    <w:rsid w:val="00820EAD"/>
    <w:rsid w:val="008210B3"/>
    <w:rsid w:val="00825D0B"/>
    <w:rsid w:val="00846DA8"/>
    <w:rsid w:val="00853076"/>
    <w:rsid w:val="00855E30"/>
    <w:rsid w:val="00870DC1"/>
    <w:rsid w:val="0087638D"/>
    <w:rsid w:val="008A5781"/>
    <w:rsid w:val="008A6BEA"/>
    <w:rsid w:val="008B3703"/>
    <w:rsid w:val="008B668D"/>
    <w:rsid w:val="008C5507"/>
    <w:rsid w:val="008D70C8"/>
    <w:rsid w:val="008E2038"/>
    <w:rsid w:val="00912D68"/>
    <w:rsid w:val="00943955"/>
    <w:rsid w:val="00944C90"/>
    <w:rsid w:val="0094547A"/>
    <w:rsid w:val="009967F9"/>
    <w:rsid w:val="00A03054"/>
    <w:rsid w:val="00A052E1"/>
    <w:rsid w:val="00A26716"/>
    <w:rsid w:val="00A61E5C"/>
    <w:rsid w:val="00A65935"/>
    <w:rsid w:val="00AD2A33"/>
    <w:rsid w:val="00B03B03"/>
    <w:rsid w:val="00B34CF7"/>
    <w:rsid w:val="00B3510F"/>
    <w:rsid w:val="00B42CD1"/>
    <w:rsid w:val="00B50A3A"/>
    <w:rsid w:val="00B572EF"/>
    <w:rsid w:val="00B820AA"/>
    <w:rsid w:val="00B867C5"/>
    <w:rsid w:val="00B962D1"/>
    <w:rsid w:val="00BA456F"/>
    <w:rsid w:val="00BB2E79"/>
    <w:rsid w:val="00BC17E3"/>
    <w:rsid w:val="00BD190F"/>
    <w:rsid w:val="00BE3A50"/>
    <w:rsid w:val="00BF04A9"/>
    <w:rsid w:val="00C03201"/>
    <w:rsid w:val="00C21104"/>
    <w:rsid w:val="00C37C22"/>
    <w:rsid w:val="00C45A48"/>
    <w:rsid w:val="00C50098"/>
    <w:rsid w:val="00C65965"/>
    <w:rsid w:val="00C72B59"/>
    <w:rsid w:val="00C72BD4"/>
    <w:rsid w:val="00C90E54"/>
    <w:rsid w:val="00CD4735"/>
    <w:rsid w:val="00D07702"/>
    <w:rsid w:val="00D46176"/>
    <w:rsid w:val="00D7109D"/>
    <w:rsid w:val="00D85A5F"/>
    <w:rsid w:val="00DB48B2"/>
    <w:rsid w:val="00DC6A8E"/>
    <w:rsid w:val="00DF7E4B"/>
    <w:rsid w:val="00E0449C"/>
    <w:rsid w:val="00E210FF"/>
    <w:rsid w:val="00E25D4B"/>
    <w:rsid w:val="00E31846"/>
    <w:rsid w:val="00E32771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40F7C"/>
    <w:rsid w:val="00F80820"/>
    <w:rsid w:val="00F916A6"/>
    <w:rsid w:val="00FD706F"/>
    <w:rsid w:val="00FE312B"/>
    <w:rsid w:val="00FE31D8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5:docId w15:val="{AD32CF45-8E1B-4A73-A73D-5A736266C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51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221B20"/>
    <w:pPr>
      <w:bidi w:val="0"/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21B2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21B2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1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328CE-FBAB-40CD-8981-6ADB1C7CC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1584</Words>
  <Characters>7466</Characters>
  <Application>Microsoft Office Word</Application>
  <DocSecurity>0</DocSecurity>
  <Lines>173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8997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Propisi vezani za mikate</dc:title>
  <dc:subject>Propisi vezani za mikate</dc:subject>
  <dc:creator>Muhammed ibn Ibrahim et-Tuvejdžiri</dc:creator>
  <cp:keywords>Propisi vezani za mikate</cp:keywords>
  <dc:description>Propisi vezani za mikate</dc:description>
  <cp:lastModifiedBy>elhashemy</cp:lastModifiedBy>
  <cp:revision>5</cp:revision>
  <cp:lastPrinted>2015-07-02T17:22:00Z</cp:lastPrinted>
  <dcterms:created xsi:type="dcterms:W3CDTF">2015-09-18T22:59:00Z</dcterms:created>
  <dcterms:modified xsi:type="dcterms:W3CDTF">2015-09-22T04:21:00Z</dcterms:modified>
  <cp:category/>
</cp:coreProperties>
</file>