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534606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534606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534606" w:rsidRDefault="000C3A23" w:rsidP="000C3A23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  <w:r>
        <w:rPr>
          <w:rFonts w:asciiTheme="majorBidi" w:hAnsiTheme="majorBidi" w:cstheme="majorBidi"/>
          <w:color w:val="205B83"/>
          <w:sz w:val="72"/>
          <w:szCs w:val="72"/>
          <w:lang w:bidi="ar-EG"/>
        </w:rPr>
        <w:t>Propisi vezani za mikate</w:t>
      </w:r>
    </w:p>
    <w:p w:rsidR="00A03054" w:rsidRPr="00534606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534606" w:rsidRDefault="000C3A23" w:rsidP="000C3A2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>المواقيت</w:t>
      </w:r>
    </w:p>
    <w:p w:rsidR="00912D68" w:rsidRPr="00534606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534606" w:rsidRDefault="00A03054" w:rsidP="00221B2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534606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21B20" w:rsidRPr="00534606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البوسنية</w:t>
      </w:r>
      <w:r w:rsidRPr="00534606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534606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53460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534606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53460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534606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7638D" w:rsidRDefault="00221B20" w:rsidP="0087638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bidi="ar-EG"/>
        </w:rPr>
      </w:pPr>
      <w:r w:rsidRPr="00534606">
        <w:rPr>
          <w:rFonts w:asciiTheme="majorBidi" w:hAnsiTheme="majorBidi" w:cstheme="majorBidi"/>
          <w:color w:val="205B83"/>
          <w:sz w:val="48"/>
          <w:szCs w:val="48"/>
          <w:lang w:bidi="ar-EG"/>
        </w:rPr>
        <w:t xml:space="preserve">Muhammed </w:t>
      </w:r>
      <w:r w:rsidR="0087638D">
        <w:rPr>
          <w:rFonts w:asciiTheme="majorBidi" w:hAnsiTheme="majorBidi" w:cstheme="majorBidi"/>
          <w:color w:val="205B83"/>
          <w:sz w:val="48"/>
          <w:szCs w:val="48"/>
          <w:lang w:bidi="ar-EG"/>
        </w:rPr>
        <w:t>ibn Ibrahim et-Tuvejdžiri</w:t>
      </w:r>
    </w:p>
    <w:p w:rsidR="00912D68" w:rsidRPr="00534606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534606" w:rsidRDefault="00221B20" w:rsidP="0087638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 w:rsidRPr="0053460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محمد </w:t>
      </w:r>
      <w:r w:rsidR="0087638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 إبراهيم التويجري</w:t>
      </w:r>
    </w:p>
    <w:p w:rsidR="00A03054" w:rsidRPr="00534606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</w:rPr>
      </w:pPr>
    </w:p>
    <w:p w:rsidR="00A03054" w:rsidRPr="00534606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534606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534606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534606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534606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534606" w:rsidRDefault="00D07702" w:rsidP="00221B20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>Prevodilac</w:t>
      </w:r>
      <w:r w:rsidR="00A03054"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 w:rsidR="00221B20"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>Senad Muhić</w:t>
      </w:r>
    </w:p>
    <w:p w:rsidR="00912D68" w:rsidRPr="00534606" w:rsidRDefault="00D07702" w:rsidP="00D0770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>Revizor</w:t>
      </w:r>
      <w:r w:rsidR="00A03054"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>:</w:t>
      </w:r>
      <w:r w:rsidR="00221B20"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Ersan Grahovac</w:t>
      </w:r>
    </w:p>
    <w:p w:rsidR="00A03054" w:rsidRPr="00534606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534606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534606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53460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221B20" w:rsidRPr="00534606">
        <w:rPr>
          <w:rFonts w:asciiTheme="majorBidi" w:hAnsiTheme="majorBidi" w:cs="KFGQPC Uthman Taha Naskh"/>
          <w:b/>
          <w:bCs/>
          <w:sz w:val="32"/>
          <w:szCs w:val="32"/>
          <w:rtl/>
        </w:rPr>
        <w:t>سناد موهيتش</w:t>
      </w:r>
    </w:p>
    <w:p w:rsidR="008B3703" w:rsidRPr="00534606" w:rsidRDefault="00A03054" w:rsidP="00221B2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  <w:sectPr w:rsidR="008B3703" w:rsidRPr="00534606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53460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21B20" w:rsidRPr="0053460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: أرسان غراهوفاتس</w:t>
      </w:r>
    </w:p>
    <w:p w:rsidR="00E942BB" w:rsidRPr="00534606" w:rsidRDefault="00E942BB" w:rsidP="0061210E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534606" w:rsidRDefault="00E942BB" w:rsidP="000C3A23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534606">
        <w:rPr>
          <w:rFonts w:asciiTheme="majorBidi" w:hAnsiTheme="majorBidi" w:cstheme="majorBidi"/>
          <w:noProof/>
          <w:color w:val="205B83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457522</wp:posOffset>
            </wp:positionH>
            <wp:positionV relativeFrom="paragraph">
              <wp:posOffset>202280</wp:posOffset>
            </wp:positionV>
            <wp:extent cx="4763069" cy="38213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069" cy="38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A23">
        <w:rPr>
          <w:rFonts w:asciiTheme="majorBidi" w:hAnsiTheme="majorBidi" w:cstheme="majorBidi"/>
          <w:color w:val="205B83"/>
          <w:sz w:val="36"/>
          <w:szCs w:val="36"/>
          <w:lang w:bidi="ar-EG"/>
        </w:rPr>
        <w:t>Propisi vezani za mikate</w:t>
      </w:r>
      <w:r w:rsidR="00221B20" w:rsidRPr="00534606">
        <w:rPr>
          <w:rFonts w:asciiTheme="majorBidi" w:hAnsiTheme="majorBidi" w:cstheme="majorBidi"/>
          <w:color w:val="205B83"/>
          <w:sz w:val="36"/>
          <w:szCs w:val="36"/>
          <w:lang w:bidi="ar-EG"/>
        </w:rPr>
        <w:t xml:space="preserve"> </w:t>
      </w:r>
    </w:p>
    <w:p w:rsidR="00E942BB" w:rsidRPr="00534606" w:rsidRDefault="00E942BB" w:rsidP="0061210E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53460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534606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942BB" w:rsidRPr="00534606" w:rsidRDefault="00E942BB" w:rsidP="0061210E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sz w:val="30"/>
          <w:szCs w:val="30"/>
          <w:rtl/>
          <w:lang w:bidi="ar-EG"/>
        </w:rPr>
      </w:pPr>
    </w:p>
    <w:p w:rsidR="00FE31D8" w:rsidRPr="003111FF" w:rsidRDefault="00FE31D8" w:rsidP="00FE31D8">
      <w:pPr>
        <w:bidi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ab/>
      </w: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Mikati</w:t>
      </w:r>
    </w:p>
    <w:p w:rsidR="00FE31D8" w:rsidRPr="003111FF" w:rsidRDefault="00FE31D8" w:rsidP="00FE31D8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Mikat je pojam kojim se označava mjesto i vrijeme ibadeta.</w:t>
      </w:r>
    </w:p>
    <w:p w:rsidR="00FE31D8" w:rsidRPr="003111FF" w:rsidRDefault="00FE31D8" w:rsidP="00FE31D8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E31D8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Mudrost određivanja mikata</w:t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Imajući u vidu da je Allah Uzvišeni Svoju kuću Ka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bu učinio svetom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i poštovanom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On je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također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učinio da zaštita te Kuće bude Mekka, 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oko nje sveti prostor –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mekkanski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harem.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Harem ima svoju zaštitnu terito</w:t>
      </w:r>
      <w:bookmarkStart w:id="0" w:name="_GoBack"/>
      <w:bookmarkEnd w:id="0"/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riju koju ograničavaju mikati,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koje nije dozvoljeno preći bez ihrama, ukoliko čovjek ide na hadždž ili umru, a sve to iz počasti prema Allahu, i Njegovoj kući, te iz počasti prema onima koji tu Kuću posjećuju.</w:t>
      </w:r>
    </w:p>
    <w:p w:rsidR="00FE31D8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FE31D8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Vrste mikata</w:t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Postoje dvije vrste mikata:</w:t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1.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Vremenski mikati, i k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da je u pitanju hadždž, njegov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vremenski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mikat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je u mjesecima ševvalu, zu-l-ka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deu, zu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l-hidždžetu, 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kada je u pitanju umra ona se može obavljati u bilo koje doba godine.</w:t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Čovjek može u obrede hadždža u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ći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prvog dana mjeseca ševvala, a zadnje vrijeme do kad može ući u obrede hadždža je prije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zore prvog dana kurbanskog bajrama.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Svi obredi hadždža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završavaju se sa zalaskom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unca trinaest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og dana mjeseca zu-l-hidždžeta,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osim oprosnog tavafa, te tavafa i sa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ja za onoga ko ima opravdanje,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što se može obaviti do kraja mjeseca zul-hidždže.</w:t>
      </w:r>
    </w:p>
    <w:p w:rsidR="00FE31D8" w:rsidRDefault="00FE31D8" w:rsidP="00FE31D8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7E21F8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2. Mikati vezani za mjesto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.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To su mjesta od kojih onaj koji želi obaviti hadždž ili umru, ulazi u ihram i počinje sa obredima.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Tih mikata ima pet:</w:t>
      </w:r>
    </w:p>
    <w:p w:rsidR="00FE31D8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Prvi: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Zu-l-Hulejfa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i t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 je mikat za stanovnike Medine i one koji dolaze sa te strane.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On je od Mekke udaljen oko četiri stotine i dvadeset kilometara i predstavlja najudaljeniji mikat od Mekke.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Također se naziva i 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Vadi-l-akik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a džamija koja se tu nalazi naziva se 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Mesdžidu-š-šedžereh.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Ovaj mikat se nalazi južno od Medine, a udaljen je trinaest kilometara od Poslanikove džamije.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Onome ko je ušao u ihrame, pohvalno je da klanja namaz u toj dolini gdje je mikat.</w:t>
      </w:r>
    </w:p>
    <w:p w:rsidR="00FE31D8" w:rsidRDefault="00FE31D8" w:rsidP="00FE31D8">
      <w:pPr>
        <w:bidi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FE31D8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382905</wp:posOffset>
            </wp:positionV>
            <wp:extent cx="3293110" cy="5080000"/>
            <wp:effectExtent l="1905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Drugi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: Džuhfa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i t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 je mikat stanovnika Šama, </w:t>
      </w:r>
      <w:r w:rsidRPr="00CB782E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Turske,</w:t>
      </w:r>
      <w:r>
        <w:rPr>
          <w:rFonts w:asciiTheme="majorBidi" w:hAnsiTheme="majorBidi" w:cstheme="majorBidi"/>
          <w:color w:val="FF0000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Egipta, Maroka i svih onih koji dolaze sa te strane.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To je selo istočno od 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Rabiga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a udaljen je od Mekke stotinu osamdeset šest kilometara.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 današnje vrijeme, ljudi ulaze u obrede u Rabigu koji se nalazi zapadno od nje, na obali mora.</w:t>
      </w:r>
    </w:p>
    <w:p w:rsidR="00FE31D8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E31D8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Treći: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Jelemlem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i t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 je mikat stanovnika Jemena i onih koji dolaze sa te strane.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Jelemlem predstavlja dolinu i brdo koj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i su udaljeni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od Mekke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oko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stotinu dvadeset kilometara.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U današnj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e vrijeme ljudi ulaze u obrede od 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Sa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'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dije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koja se nalazi u dolini Jelemlema, sa strane zapadne obale.</w:t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Čevrti: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Karnu-l-menazil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i t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 je mikat sa stanovnike Nedžda, Taifa i svih onih  koji dolaze sa te strane. Danas je on poznat pod imenom 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Es-Sejlu-l-Kebir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i udaljen je od Mekke, otprilike sedamdeset pet kilometara.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Dolina 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Mahrem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je najuzvišenija tačka Karnu-l-menazila, a njime se do Mekke proteže poznati put El-Heda.</w:t>
      </w:r>
    </w:p>
    <w:p w:rsidR="00FE31D8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FE31D8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Peti: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Zatu Irk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i t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 je mikat Iračana i svih onih koji dolaze sa te strane. To je dolina koja se naziva 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Dariba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a udaljena je od Mekke stotinu kilometara, otprilike.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Onaj ko stanuje u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nutar  granica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mikat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prema Mekki, ulazi u obrede sa mjesta gdje stanuje.</w:t>
      </w:r>
    </w:p>
    <w:p w:rsidR="00FE31D8" w:rsidRPr="003111FF" w:rsidRDefault="00FE31D8" w:rsidP="00FE31D8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Ibn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Abbas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,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radijallahu anhuma,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veli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da je Vjerovjesnik, sallallahu alejhi ve sellem, za Medinlije odredio mjesto i vrijeme stupanja u ihram Zul-Hulejfu, za stanovnike Šama Džuhfu, za Jemen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c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e Jelemlem, a za stanovnike Nedžda Karn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ul-menazil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. To su mjesta za njih i za svakog drugog ko bude preko njih dolazio i namjeravao obaviti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hadždž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i umru, a onaj ko je unutra iza tih mjesta, on stupa u ihram od svoga doma (porodice). Tako stanovnici Mekke stupaju u ihram iz same Mekke.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footnoteReference w:id="1"/>
      </w:r>
    </w:p>
    <w:p w:rsidR="00FE31D8" w:rsidRPr="003111FF" w:rsidRDefault="00FE31D8" w:rsidP="00FE31D8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</w:p>
    <w:p w:rsidR="00FE31D8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Propis prelaska mikata bez ihrama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 – nijjeta otpočinjanja obreda</w:t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1. Nije dozvoljeno onome ko hoće da obavi hadždž ili umru da pređe mikat bez ihrama, a ko to učini obavezan je da se vrati do mikata i da obuče ihram.</w:t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2. Ko pređe mikat, a ne želi da obavi hadždž ili umru, a zatim nakon toga hoće da ih obavi, ući će u ihram na onome mjestu gdje mu se pojavila namjera za obavljanjem hadždža ili umre.</w:t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lastRenderedPageBreak/>
        <w:t>Osim kada je u pitanju samostalna umra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; ako je onaj ko je stigao u Mekku zanijeti, treba da izađe van granica harema, a ako je zanijeti van granica, onda će to učiniti tamo gdje se nalazi.</w:t>
      </w:r>
    </w:p>
    <w:p w:rsidR="00FE31D8" w:rsidRPr="003111FF" w:rsidRDefault="00FE31D8" w:rsidP="00FE31D8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Mikat onih koji stanuju nakon što se pređe granica mikata prema Mekki</w:t>
      </w:r>
    </w:p>
    <w:p w:rsidR="00FE31D8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Ibn Abbas veli: „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Vjerovjesnik, sallallahu alejhi ve sellem, odredio je vrijeme i mjesto oblačenja ihrama: Zul-Hulejfu za Medinelije, Džuhfu za stanovnike Šama, Karnul-Menazil za stanovnike Nedžda, a Jelemlem za stanovnike Jemena. Ova su mjesta za njih i za svakog onog koji preko njih naiđe, namjeravajući obaviti hadždž ili umru. Za onog koji je iza toga mjesta unutra (između mikata i Mekke), on stupa u ihram ondje gdje je donio odluku za hadž. Tako će Mekkelija stupiti u ihram iz same Mekke.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footnoteReference w:id="2"/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</w:p>
    <w:p w:rsidR="00FE31D8" w:rsidRPr="003111FF" w:rsidRDefault="00FE31D8" w:rsidP="00FE31D8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Mikat onoga ko pristiže u Mekku</w:t>
      </w:r>
    </w:p>
    <w:p w:rsidR="00FE31D8" w:rsidRPr="003111FF" w:rsidRDefault="00FE31D8" w:rsidP="00FE31D8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rtl/>
          <w:lang w:val="bs-Latn-BA" w:bidi="ar-SY"/>
        </w:rPr>
        <w:t>1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Ako onaj ko dolazi u Mekku nije nastanjen u Mekki, a želi da obavi hadždž i umru, onda će stupiti u obred na mikatu pored kojeg prolazi.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Ako takav obavlja ifrad ili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kiran hadždž, učiniće tavaf i s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j, a nakon toga će ostati u ihramima sve dok ne baci kamenčiće i ne ošiša se na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dan klanja kurbana, tj. prvog dana kurbanskog bajrama.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Ukoliko obavlja hadždž temettu', završiće sa umrom, skinuti ihrame, a zatim će zanijetiti hadždž osmog dana zu-l-hidždžeta i to sa mjesta na kojem se nalazi u Mekki.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Nakon toga će otići na Minu.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„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Pričao je Džabir b.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Abdullah, radijallahu anhuma, da je on činio hadždž sa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Vjerovjesnikom, sallallahu alejhi ve sellem, kada je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on gonio sa sobom deve (kurbane), a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ashabi su učinili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ihram samo za hadž, pa im je Vjerovjesnik rekao: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'Oslobodite se svojih ihrama po završenom tavafu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oko Ka'be i sa'ju između Safe i Merve i pošišajte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se, a potom ostanite kao slobodni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dok ne bude nastupio osmi dan zul-hidžeta. Tada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stupite u ihram za hadž, a ono što ste ranije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uradili, učinite umrom!' 'Kako ćemo ga učiniti 'umrom, kada smo ga i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imenovali hadžom?' – upitali su oni.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'Činite onako kako sam vam naredio!' – rekao je on.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'Da nisam gonio kurban, sigurno bih učinio isto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to što sam i vama naredio. Meni, međutim, nije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dozvoljeno ono što je (u ihramima) zabranjeno dok kurban ne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stigne na svoje mjesto. '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/>
        </w:rPr>
        <w:t xml:space="preserve"> </w:t>
      </w:r>
      <w:r w:rsidRPr="0040452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Uradili su kako im je naređeno.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footnoteReference w:id="3"/>
      </w:r>
    </w:p>
    <w:p w:rsidR="00FE31D8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2. Ko dođe u Mekku radi hadždža i umre, pa završi za obredima i nakon toga želi da obavi drugu umru za sebe ili nekog drugog, mora da izađe do nekog mjesta van granica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mekkanskog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harema, poput Ten'ima, kako bi sa tog mjesta zanijetio umru.</w:t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val="bs-Latn-BA" w:bidi="ar-SY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Ali ako obavi umru prije hadždža (i ostane unutar mekkanskog harema i želi učiniti hadždž)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onda može da ga zanijeti na mjestu na kojem se nalazi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unutar Mekke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Prenosi se da je Aiša, radijallahu 'anha zanijetila umru, pa kada je stigla nije tavafila oko Kabe, jer je dobila menstruaciju,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a pored toga je obavila sve obrede, te je zanijetila hadždž. Poslanik, sallallahu alejhi ve sellem, joj je na dan povratka sa Mine, kazao: „</w:t>
      </w:r>
      <w:r w:rsidRPr="00892FC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Tvoj tavaf će ti biti dovoljan i za hadždž i za umru.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“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Ona se nije zadovoljila jednim tavafom, pa je sa njom poslao Abdurrahmana do Tenima, odakle je zanijetila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umru nakon što je obavila hadždž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Muttefekun 'alejh.</w:t>
      </w:r>
    </w:p>
    <w:p w:rsidR="00FE31D8" w:rsidRPr="003111FF" w:rsidRDefault="00FE31D8" w:rsidP="00FE31D8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Način ulaska u ihram u avionu</w:t>
      </w:r>
    </w:p>
    <w:p w:rsidR="00FE31D8" w:rsidRPr="003111FF" w:rsidRDefault="00FE31D8" w:rsidP="00FE31D8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ab/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lastRenderedPageBreak/>
        <w:t>1.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Ko sjedne u avion želeći da krene na haždž ili umru ili oboje, treba da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zanijeti početak obreda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kada se približi mikatu iznad kojeg leti. Tada će obući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odjeću za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ih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ram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i zanijetiti, a ako nema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odjeću za ihram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onda će obući bilo koje platno koje se sastoji od dva dijela, poput čaršafa i sl.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Ako ni to ne nađe, onda će mu njegova odjeća (galabija) biti namjesto donje dijela ihrama, a komad platna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(šimag, gutra)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kojim se pokriva glava biti namjesto gornjeg djela ihrama.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Ako na njemu ne bude ta vrsta odjeće, nego samo hlače ili slično tome, onda će nanijetiti da mu to budu ihrami sve dok ne nađe ihrame.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Prenosi se o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d Ibn Abbasa, da je rekao: „</w:t>
      </w:r>
      <w:r w:rsidRPr="00E5634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Vjerovjesnik, sallallahu alejhi ve sellem, nam je držao hutbu na Arefatu i rekao: 'Ko nema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izar (ogrtač za donji dio tijela)</w:t>
      </w:r>
      <w:r w:rsidRPr="00E5634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 neka obuče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sirval (pantalone, dugačke gaće)</w:t>
      </w:r>
      <w:r w:rsidRPr="00E5634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, a ko nema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nanule</w:t>
      </w:r>
      <w:r w:rsidRPr="00E5634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 neka obuje mestve.'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footnoteReference w:id="4"/>
      </w:r>
    </w:p>
    <w:p w:rsidR="00FE31D8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2.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Nije dozvoljeno onome ko želi da obavi hadždž ili umru da odgađa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nijjet ulaska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u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obrede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dok ne sleti na aerodrom u Džiddi.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Ako to uradi, onda mu je obaveza da se vrati do najbližeg mikata kako bi sa njega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zanijetio početak obreda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a najbliži mikat u tom slučaju je Džuhfa.</w:t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3.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Ko dođe u Džiddu radi neke potrebe, a potom mu se pojavi želja da obavi umru, ući će u ihram na mjestu na kojem se nalazi.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A onaj ko ode u Džiddu s ciljem obavljanja nekog posla, a nakon toga umre, ući će u ihram nakon što okonča posao, i to na najbližem mikatu, Džuhfi, a zatim će se zaputiti ka Mekki da obavi umru.</w:t>
      </w:r>
    </w:p>
    <w:p w:rsidR="00FE31D8" w:rsidRPr="003111FF" w:rsidRDefault="00FE31D8" w:rsidP="00FE31D8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Propis onoga ko prolazi pored dva mikata</w:t>
      </w:r>
    </w:p>
    <w:p w:rsidR="00FE31D8" w:rsidRPr="003111FF" w:rsidRDefault="00FE31D8" w:rsidP="00FE31D8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ab/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Obaveza je onome ko želi obaviti hadždž ili umru, a prolazi pored dva m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ikata, da uđe u ihram na prvom m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ikatu koji mu dođe.</w:t>
      </w:r>
    </w:p>
    <w:p w:rsidR="00FE31D8" w:rsidRPr="003111FF" w:rsidRDefault="00FE31D8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Ukoliko neko dolazi iz Egipta, Šama, Maroka ili iz Evrope, Amerike, i Afrike i prođe pored mikata Zul-Hulejfe prije nego što dođe do svog mikata Džuhfe, obaveza mu je da uđe u ihram na Zu-l-Hulejfi i nije mu dozvoljeno da prođe pored Zu-l-Hulejfe bez ihrama, jer je mikat mjesto ihrama za sve one koji žive tu i prolaze pored njega.</w:t>
      </w:r>
    </w:p>
    <w:p w:rsidR="005666DC" w:rsidRPr="0061210E" w:rsidRDefault="005666DC" w:rsidP="00FE31D8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6666"/>
          <w:sz w:val="30"/>
          <w:szCs w:val="30"/>
          <w:lang w:val="bs-Latn-BA"/>
        </w:rPr>
      </w:pPr>
    </w:p>
    <w:sectPr w:rsidR="005666DC" w:rsidRPr="0061210E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DA8" w:rsidRDefault="00846DA8" w:rsidP="00E32771">
      <w:pPr>
        <w:spacing w:after="0" w:line="240" w:lineRule="auto"/>
      </w:pPr>
      <w:r>
        <w:separator/>
      </w:r>
    </w:p>
  </w:endnote>
  <w:endnote w:type="continuationSeparator" w:id="0">
    <w:p w:rsidR="00846DA8" w:rsidRDefault="00846DA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E704A22-9E8E-453C-A0E9-44660DAC8F98}"/>
    <w:embedBold r:id="rId2" w:fontKey="{60175E11-B220-48AE-B83F-22C8C0E554CC}"/>
    <w:embedItalic r:id="rId3" w:fontKey="{9E73C7FD-B00F-4EE6-9CF1-4E88BF389C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330B0C3-BA7E-4ADD-A235-508B1E2A61D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624982B-2B51-4E44-9959-50CE41C335AC}"/>
    <w:embedBold r:id="rId6" w:fontKey="{D3018DCA-9C13-490C-B9EF-3B8CC2387237}"/>
    <w:embedItalic r:id="rId7" w:fontKey="{9DDFC9DB-433B-42AD-B12E-C783932155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937E8BC-0D8E-40F5-9552-D2B9F3FAFF1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3B38EF4D-1044-4AD4-A6EE-A9C2A2ECA2CA}"/>
    <w:embedBold r:id="rId10" w:fontKey="{5B068C06-BB8E-47BA-A23D-6A1FC546BF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AB674994-8594-4099-9A55-4439B044353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91A6F75E-C58F-47F9-94D4-70C1D82591F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18C1F447-8BB6-4934-BB87-419ED9E644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846DA8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DA8" w:rsidRDefault="00846DA8" w:rsidP="00E32771">
      <w:pPr>
        <w:spacing w:after="0" w:line="240" w:lineRule="auto"/>
      </w:pPr>
      <w:r>
        <w:separator/>
      </w:r>
    </w:p>
  </w:footnote>
  <w:footnote w:type="continuationSeparator" w:id="0">
    <w:p w:rsidR="00846DA8" w:rsidRDefault="00846DA8" w:rsidP="00E32771">
      <w:pPr>
        <w:spacing w:after="0" w:line="240" w:lineRule="auto"/>
      </w:pPr>
      <w:r>
        <w:continuationSeparator/>
      </w:r>
    </w:p>
  </w:footnote>
  <w:footnote w:id="1">
    <w:p w:rsidR="00FE31D8" w:rsidRPr="00E15089" w:rsidRDefault="00FE31D8" w:rsidP="00FE31D8">
      <w:pPr>
        <w:pStyle w:val="FootnoteText"/>
        <w:jc w:val="both"/>
        <w:rPr>
          <w:rFonts w:asciiTheme="majorBidi" w:hAnsiTheme="majorBidi" w:cstheme="majorBidi"/>
        </w:rPr>
      </w:pPr>
      <w:r w:rsidRPr="00E15089">
        <w:rPr>
          <w:rStyle w:val="FootnoteReference"/>
          <w:rFonts w:asciiTheme="majorBidi" w:hAnsiTheme="majorBidi" w:cstheme="majorBidi"/>
        </w:rPr>
        <w:footnoteRef/>
      </w:r>
      <w:r w:rsidRPr="00E15089">
        <w:rPr>
          <w:rFonts w:asciiTheme="majorBidi" w:hAnsiTheme="majorBidi" w:cstheme="majorBidi"/>
        </w:rPr>
        <w:t xml:space="preserve"> Bilježi Buharija, br. 1526., i ovo je njegova verzija, i Muslim, br. 1181.</w:t>
      </w:r>
    </w:p>
  </w:footnote>
  <w:footnote w:id="2">
    <w:p w:rsidR="00FE31D8" w:rsidRPr="00E15089" w:rsidRDefault="00FE31D8" w:rsidP="00FE31D8">
      <w:pPr>
        <w:pStyle w:val="FootnoteText"/>
        <w:jc w:val="both"/>
        <w:rPr>
          <w:rFonts w:asciiTheme="majorBidi" w:hAnsiTheme="majorBidi" w:cstheme="majorBidi"/>
        </w:rPr>
      </w:pPr>
      <w:r w:rsidRPr="00E15089">
        <w:rPr>
          <w:rStyle w:val="FootnoteReference"/>
          <w:rFonts w:asciiTheme="majorBidi" w:hAnsiTheme="majorBidi" w:cstheme="majorBidi"/>
        </w:rPr>
        <w:footnoteRef/>
      </w:r>
      <w:r w:rsidRPr="00E15089">
        <w:rPr>
          <w:rFonts w:asciiTheme="majorBidi" w:hAnsiTheme="majorBidi" w:cstheme="majorBidi"/>
        </w:rPr>
        <w:t xml:space="preserve"> Bilježi Buharija, br. 1524., i ovo je njegova verzija, i Muslim, br. 1181.</w:t>
      </w:r>
    </w:p>
  </w:footnote>
  <w:footnote w:id="3">
    <w:p w:rsidR="00FE31D8" w:rsidRPr="00E15089" w:rsidRDefault="00FE31D8" w:rsidP="00FE31D8">
      <w:pPr>
        <w:pStyle w:val="FootnoteText"/>
        <w:jc w:val="both"/>
        <w:rPr>
          <w:rFonts w:asciiTheme="majorBidi" w:hAnsiTheme="majorBidi" w:cstheme="majorBidi"/>
        </w:rPr>
      </w:pPr>
      <w:r w:rsidRPr="00E15089">
        <w:rPr>
          <w:rStyle w:val="FootnoteReference"/>
          <w:rFonts w:asciiTheme="majorBidi" w:hAnsiTheme="majorBidi" w:cstheme="majorBidi"/>
        </w:rPr>
        <w:footnoteRef/>
      </w:r>
      <w:r w:rsidRPr="00E15089">
        <w:rPr>
          <w:rFonts w:asciiTheme="majorBidi" w:hAnsiTheme="majorBidi" w:cstheme="majorBidi"/>
        </w:rPr>
        <w:t xml:space="preserve"> Bilježi Buharija, br. 1568., i ovo je njegova verzija, i Muslim, 1216.</w:t>
      </w:r>
    </w:p>
  </w:footnote>
  <w:footnote w:id="4">
    <w:p w:rsidR="00FE31D8" w:rsidRPr="00E15089" w:rsidRDefault="00FE31D8" w:rsidP="00FE31D8">
      <w:pPr>
        <w:pStyle w:val="FootnoteText"/>
        <w:jc w:val="both"/>
        <w:rPr>
          <w:rFonts w:asciiTheme="majorBidi" w:hAnsiTheme="majorBidi" w:cstheme="majorBidi"/>
        </w:rPr>
      </w:pPr>
      <w:r w:rsidRPr="00E15089">
        <w:rPr>
          <w:rStyle w:val="FootnoteReference"/>
          <w:rFonts w:asciiTheme="majorBidi" w:hAnsiTheme="majorBidi" w:cstheme="majorBidi"/>
        </w:rPr>
        <w:footnoteRef/>
      </w:r>
      <w:r w:rsidRPr="00E15089">
        <w:rPr>
          <w:rFonts w:asciiTheme="majorBidi" w:hAnsiTheme="majorBidi" w:cstheme="majorBidi"/>
        </w:rPr>
        <w:t xml:space="preserve"> Bilježi Buharija, br. 1843., i Muslim, br. 1178.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846DA8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0C3A23" w:rsidRDefault="000C3A23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  <w:t>Propisi vezani za mikate</w:t>
                  </w: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="00F916A6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F916A6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595CA4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4</w:t>
                  </w:r>
                  <w:r w:rsidR="00F916A6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846DA8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46DA8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B531C"/>
    <w:rsid w:val="000C2B16"/>
    <w:rsid w:val="000C3A23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21B20"/>
    <w:rsid w:val="0023307B"/>
    <w:rsid w:val="00235692"/>
    <w:rsid w:val="00267C61"/>
    <w:rsid w:val="00270AE8"/>
    <w:rsid w:val="00285CF8"/>
    <w:rsid w:val="00286D09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39D0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13533"/>
    <w:rsid w:val="00437EF4"/>
    <w:rsid w:val="00447B55"/>
    <w:rsid w:val="00451428"/>
    <w:rsid w:val="004554F2"/>
    <w:rsid w:val="00471515"/>
    <w:rsid w:val="00477478"/>
    <w:rsid w:val="004C1156"/>
    <w:rsid w:val="004E2AD6"/>
    <w:rsid w:val="004E2DC3"/>
    <w:rsid w:val="004E38A0"/>
    <w:rsid w:val="004E78EF"/>
    <w:rsid w:val="00534606"/>
    <w:rsid w:val="00534E52"/>
    <w:rsid w:val="00536D3B"/>
    <w:rsid w:val="005666DC"/>
    <w:rsid w:val="00575281"/>
    <w:rsid w:val="0058544F"/>
    <w:rsid w:val="00595CA4"/>
    <w:rsid w:val="005A2707"/>
    <w:rsid w:val="005A6C9C"/>
    <w:rsid w:val="00604920"/>
    <w:rsid w:val="0061210E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A7E2F"/>
    <w:rsid w:val="007C1387"/>
    <w:rsid w:val="007E5889"/>
    <w:rsid w:val="007E70EB"/>
    <w:rsid w:val="00814452"/>
    <w:rsid w:val="00820EAD"/>
    <w:rsid w:val="008210B3"/>
    <w:rsid w:val="00825D0B"/>
    <w:rsid w:val="00846DA8"/>
    <w:rsid w:val="00853076"/>
    <w:rsid w:val="00855E30"/>
    <w:rsid w:val="00870DC1"/>
    <w:rsid w:val="0087638D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26716"/>
    <w:rsid w:val="00A61E5C"/>
    <w:rsid w:val="00A65935"/>
    <w:rsid w:val="00AD2A33"/>
    <w:rsid w:val="00B03B03"/>
    <w:rsid w:val="00B34CF7"/>
    <w:rsid w:val="00B3510F"/>
    <w:rsid w:val="00B42CD1"/>
    <w:rsid w:val="00B50A3A"/>
    <w:rsid w:val="00B572EF"/>
    <w:rsid w:val="00B820AA"/>
    <w:rsid w:val="00B867C5"/>
    <w:rsid w:val="00B962D1"/>
    <w:rsid w:val="00BA456F"/>
    <w:rsid w:val="00BB2E79"/>
    <w:rsid w:val="00BC17E3"/>
    <w:rsid w:val="00BD190F"/>
    <w:rsid w:val="00BE3A50"/>
    <w:rsid w:val="00BF04A9"/>
    <w:rsid w:val="00C03201"/>
    <w:rsid w:val="00C21104"/>
    <w:rsid w:val="00C37C22"/>
    <w:rsid w:val="00C45A48"/>
    <w:rsid w:val="00C50098"/>
    <w:rsid w:val="00C65965"/>
    <w:rsid w:val="00C72B59"/>
    <w:rsid w:val="00C72BD4"/>
    <w:rsid w:val="00C90E54"/>
    <w:rsid w:val="00CD4735"/>
    <w:rsid w:val="00D07702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31846"/>
    <w:rsid w:val="00E327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40F7C"/>
    <w:rsid w:val="00F80820"/>
    <w:rsid w:val="00F916A6"/>
    <w:rsid w:val="00FD706F"/>
    <w:rsid w:val="00FE312B"/>
    <w:rsid w:val="00FE31D8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AD32CF45-8E1B-4A73-A73D-5A736266C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51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221B20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1B2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1B2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328CE-FBAB-40CD-8981-6ADB1C7CC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1584</Words>
  <Characters>7466</Characters>
  <Application>Microsoft Office Word</Application>
  <DocSecurity>0</DocSecurity>
  <Lines>173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8997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Propisi vezani za mikate</dc:title>
  <dc:subject>Propisi vezani za mikate</dc:subject>
  <dc:creator>Muhammed ibn Ibrahim et-Tuvejdžiri</dc:creator>
  <cp:keywords>Propisi vezani za mikate</cp:keywords>
  <dc:description>Propisi vezani za mikate</dc:description>
  <cp:lastModifiedBy>elhashemy</cp:lastModifiedBy>
  <cp:revision>5</cp:revision>
  <cp:lastPrinted>2015-07-02T17:22:00Z</cp:lastPrinted>
  <dcterms:created xsi:type="dcterms:W3CDTF">2015-09-18T22:59:00Z</dcterms:created>
  <dcterms:modified xsi:type="dcterms:W3CDTF">2015-09-22T04:21:00Z</dcterms:modified>
  <cp:category/>
</cp:coreProperties>
</file>