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ADE2" w14:textId="77777777" w:rsidR="00C7757D" w:rsidRDefault="00C775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bidiVisual/>
        <w:tblW w:w="90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2976"/>
        <w:gridCol w:w="2835"/>
        <w:gridCol w:w="1558"/>
      </w:tblGrid>
      <w:tr w:rsidR="00C7757D" w14:paraId="0EAB4724" w14:textId="77777777">
        <w:trPr>
          <w:jc w:val="center"/>
        </w:trPr>
        <w:tc>
          <w:tcPr>
            <w:tcW w:w="9065" w:type="dxa"/>
            <w:gridSpan w:val="4"/>
            <w:tcBorders>
              <w:bottom w:val="single" w:sz="24" w:space="0" w:color="FFFFFF"/>
            </w:tcBorders>
            <w:shd w:val="clear" w:color="auto" w:fill="ECF1F9"/>
            <w:vAlign w:val="center"/>
          </w:tcPr>
          <w:p w14:paraId="18FFAA6B" w14:textId="77777777" w:rsidR="00C7757D" w:rsidRPr="00F762E1" w:rsidRDefault="001E65BA" w:rsidP="00F762E1">
            <w:pPr>
              <w:spacing w:after="0" w:line="600" w:lineRule="exact"/>
              <w:jc w:val="center"/>
              <w:rPr>
                <w:rFonts w:ascii="Lotus Linotype" w:eastAsia="Lotus Linotype" w:hAnsi="Lotus Linotype" w:cs="DecoType Naskh"/>
                <w:color w:val="2F5496"/>
                <w:sz w:val="56"/>
                <w:szCs w:val="56"/>
              </w:rPr>
            </w:pPr>
            <w:r w:rsidRPr="00F762E1">
              <w:rPr>
                <w:rFonts w:ascii="Lotus Linotype" w:eastAsia="Lotus Linotype" w:hAnsi="Lotus Linotype" w:cs="DecoType Naskh"/>
                <w:color w:val="2F5496"/>
                <w:sz w:val="56"/>
                <w:szCs w:val="56"/>
                <w:rtl/>
              </w:rPr>
              <w:t xml:space="preserve">مُلخَّص رسالة: </w:t>
            </w:r>
          </w:p>
          <w:p w14:paraId="23399354" w14:textId="77777777" w:rsidR="00C7757D" w:rsidRPr="00F762E1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DecoType Naskh"/>
                <w:color w:val="2F5496"/>
                <w:sz w:val="76"/>
                <w:szCs w:val="76"/>
              </w:rPr>
            </w:pPr>
            <w:r w:rsidRPr="00F762E1">
              <w:rPr>
                <w:rFonts w:ascii="Lotus Linotype" w:eastAsia="Lotus Linotype" w:hAnsi="Lotus Linotype" w:cs="DecoType Naskh"/>
                <w:color w:val="2F5496"/>
                <w:sz w:val="76"/>
                <w:szCs w:val="76"/>
                <w:rtl/>
              </w:rPr>
              <w:t>«حقوقٌ دعت إليها الفطرة وقرَّرتها الشَّريعة»</w:t>
            </w:r>
          </w:p>
          <w:p w14:paraId="72D5C9CA" w14:textId="77777777" w:rsidR="00C7757D" w:rsidRDefault="001E65B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2F5496"/>
                <w:sz w:val="84"/>
                <w:szCs w:val="84"/>
              </w:rPr>
            </w:pPr>
            <w:r w:rsidRPr="00F762E1">
              <w:rPr>
                <w:rFonts w:ascii="Cambria" w:eastAsia="Cambria" w:hAnsi="Cambria" w:cs="DecoType Naskh"/>
                <w:color w:val="2F5496"/>
                <w:sz w:val="56"/>
                <w:szCs w:val="56"/>
                <w:rtl/>
              </w:rPr>
              <w:t xml:space="preserve">للعلَّامة: محمَّد بن صالحٍ العثيمين </w:t>
            </w:r>
            <w:r w:rsidRPr="00F762E1">
              <w:rPr>
                <w:rFonts w:ascii="Lotus Linotype" w:eastAsia="Lotus Linotype" w:hAnsi="Lotus Linotype" w:cs="DecoType Naskh"/>
                <w:color w:val="2F5496"/>
                <w:sz w:val="56"/>
                <w:szCs w:val="56"/>
              </w:rPr>
              <w:t>$</w:t>
            </w:r>
          </w:p>
        </w:tc>
      </w:tr>
      <w:tr w:rsidR="00C7757D" w14:paraId="05542A64" w14:textId="77777777">
        <w:trPr>
          <w:trHeight w:val="2100"/>
          <w:jc w:val="center"/>
        </w:trPr>
        <w:tc>
          <w:tcPr>
            <w:tcW w:w="9065" w:type="dxa"/>
            <w:gridSpan w:val="4"/>
            <w:tcBorders>
              <w:top w:val="single" w:sz="24" w:space="0" w:color="FFFFFF"/>
            </w:tcBorders>
            <w:shd w:val="clear" w:color="auto" w:fill="ECF1F9"/>
            <w:vAlign w:val="center"/>
          </w:tcPr>
          <w:p w14:paraId="5BD4F430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</w:pP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  <w:t>Resumen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  <w:t xml:space="preserve"> de:</w:t>
            </w:r>
          </w:p>
          <w:p w14:paraId="13A8B38D" w14:textId="4AA9FA87" w:rsidR="00C7757D" w:rsidRPr="00F762E1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</w:pPr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 xml:space="preserve">Derechos </w:t>
            </w:r>
            <w:proofErr w:type="spellStart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invocados</w:t>
            </w:r>
            <w:proofErr w:type="spellEnd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 xml:space="preserve"> </w:t>
            </w:r>
            <w:proofErr w:type="spellStart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por</w:t>
            </w:r>
            <w:proofErr w:type="spellEnd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 xml:space="preserve"> </w:t>
            </w:r>
            <w:proofErr w:type="spellStart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fitra</w:t>
            </w:r>
            <w:proofErr w:type="spellEnd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 xml:space="preserve"> (</w:t>
            </w:r>
            <w:proofErr w:type="spellStart"/>
            <w:r w:rsidR="00704D33"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condición</w:t>
            </w:r>
            <w:proofErr w:type="spellEnd"/>
            <w:r w:rsidR="00704D33"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 xml:space="preserve"> </w:t>
            </w:r>
            <w:proofErr w:type="spellStart"/>
            <w:r w:rsidR="00704D33"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innata</w:t>
            </w:r>
            <w:proofErr w:type="spellEnd"/>
            <w:r w:rsidR="00704D33"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 xml:space="preserve"> del ser </w:t>
            </w:r>
            <w:proofErr w:type="spellStart"/>
            <w:r w:rsidR="00704D33"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humano</w:t>
            </w:r>
            <w:proofErr w:type="spellEnd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 xml:space="preserve">) y </w:t>
            </w:r>
            <w:proofErr w:type="spellStart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aprobados</w:t>
            </w:r>
            <w:proofErr w:type="spellEnd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 xml:space="preserve"> </w:t>
            </w:r>
            <w:proofErr w:type="spellStart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por</w:t>
            </w:r>
            <w:proofErr w:type="spellEnd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 xml:space="preserve"> la Sharia (ley </w:t>
            </w:r>
            <w:proofErr w:type="spellStart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islámica</w:t>
            </w:r>
            <w:proofErr w:type="spellEnd"/>
            <w:r w:rsidRPr="00F762E1">
              <w:rPr>
                <w:rFonts w:ascii="Andalus" w:eastAsia="Andalus" w:hAnsi="Andalus" w:cs="Andalus"/>
                <w:b/>
                <w:color w:val="2F5496"/>
                <w:sz w:val="48"/>
                <w:szCs w:val="48"/>
              </w:rPr>
              <w:t>)</w:t>
            </w:r>
          </w:p>
          <w:p w14:paraId="49FCE118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56"/>
                <w:szCs w:val="56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  <w:t xml:space="preserve">Por Ibn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  <w:t>Uzaímin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  <w:t xml:space="preserve"> - que Allah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  <w:t>tenga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  <w:t xml:space="preserve"> misericordia de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  <w:t>él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44"/>
                <w:szCs w:val="44"/>
              </w:rPr>
              <w:t>.</w:t>
            </w:r>
          </w:p>
        </w:tc>
      </w:tr>
      <w:tr w:rsidR="00C7757D" w14:paraId="39C0ECB2" w14:textId="77777777">
        <w:trPr>
          <w:trHeight w:val="564"/>
          <w:jc w:val="center"/>
        </w:trPr>
        <w:tc>
          <w:tcPr>
            <w:tcW w:w="9065" w:type="dxa"/>
            <w:gridSpan w:val="4"/>
            <w:shd w:val="clear" w:color="auto" w:fill="auto"/>
            <w:vAlign w:val="center"/>
          </w:tcPr>
          <w:p w14:paraId="08EAFB8C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</w:tr>
      <w:tr w:rsidR="00C7757D" w14:paraId="37CB9971" w14:textId="77777777">
        <w:trPr>
          <w:jc w:val="center"/>
        </w:trPr>
        <w:tc>
          <w:tcPr>
            <w:tcW w:w="1696" w:type="dxa"/>
            <w:shd w:val="clear" w:color="auto" w:fill="ECF1F9"/>
            <w:vAlign w:val="center"/>
          </w:tcPr>
          <w:p w14:paraId="39454367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</w:rPr>
            </w:pPr>
            <w:bookmarkStart w:id="0" w:name="_gjdgxs" w:colFirst="0" w:colLast="0"/>
            <w:bookmarkEnd w:id="0"/>
            <w:r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  <w:rtl/>
              </w:rPr>
              <w:t>اللُّغة:</w:t>
            </w:r>
          </w:p>
        </w:tc>
        <w:tc>
          <w:tcPr>
            <w:tcW w:w="2976" w:type="dxa"/>
            <w:vAlign w:val="center"/>
          </w:tcPr>
          <w:p w14:paraId="31379EFC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العربيَّة -الإسبانية</w:t>
            </w:r>
          </w:p>
        </w:tc>
        <w:tc>
          <w:tcPr>
            <w:tcW w:w="2835" w:type="dxa"/>
            <w:vAlign w:val="center"/>
          </w:tcPr>
          <w:p w14:paraId="3DDAF7D9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</w:pPr>
            <w:proofErr w:type="spellStart"/>
            <w:r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  <w:t>Árabe</w:t>
            </w:r>
            <w:proofErr w:type="spellEnd"/>
            <w:r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  <w:t xml:space="preserve"> - Castellano </w:t>
            </w:r>
          </w:p>
        </w:tc>
        <w:tc>
          <w:tcPr>
            <w:tcW w:w="1558" w:type="dxa"/>
            <w:shd w:val="clear" w:color="auto" w:fill="ECF1F9"/>
            <w:vAlign w:val="center"/>
          </w:tcPr>
          <w:p w14:paraId="1463128E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</w:pP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Idioma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:</w:t>
            </w:r>
          </w:p>
        </w:tc>
      </w:tr>
      <w:tr w:rsidR="00C7757D" w14:paraId="3B2804AB" w14:textId="7777777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BF50646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1FEB6BA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B4A476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41600C2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</w:tr>
      <w:tr w:rsidR="00C7757D" w14:paraId="7627DE5A" w14:textId="77777777">
        <w:trPr>
          <w:jc w:val="center"/>
        </w:trPr>
        <w:tc>
          <w:tcPr>
            <w:tcW w:w="1696" w:type="dxa"/>
            <w:shd w:val="clear" w:color="auto" w:fill="ECF1F9"/>
            <w:vAlign w:val="center"/>
          </w:tcPr>
          <w:p w14:paraId="0947E712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  <w:rtl/>
              </w:rPr>
              <w:t>ترجمة:</w:t>
            </w:r>
          </w:p>
        </w:tc>
        <w:tc>
          <w:tcPr>
            <w:tcW w:w="2976" w:type="dxa"/>
            <w:vAlign w:val="center"/>
          </w:tcPr>
          <w:p w14:paraId="267853F0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Cambria" w:eastAsia="Cambria" w:hAnsi="Cambria" w:cs="Cambria"/>
                <w:color w:val="161616"/>
                <w:sz w:val="32"/>
                <w:szCs w:val="32"/>
              </w:rPr>
              <w:t>.....................</w:t>
            </w:r>
          </w:p>
        </w:tc>
        <w:tc>
          <w:tcPr>
            <w:tcW w:w="2835" w:type="dxa"/>
            <w:vAlign w:val="center"/>
          </w:tcPr>
          <w:p w14:paraId="7138F314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color w:val="161616"/>
                <w:sz w:val="26"/>
                <w:szCs w:val="26"/>
              </w:rPr>
            </w:pPr>
            <w:r>
              <w:rPr>
                <w:rFonts w:ascii="Andalus" w:eastAsia="Andalus" w:hAnsi="Andalus" w:cs="Andalus"/>
                <w:color w:val="161616"/>
                <w:sz w:val="26"/>
                <w:szCs w:val="26"/>
              </w:rPr>
              <w:t>……………………</w:t>
            </w:r>
          </w:p>
        </w:tc>
        <w:tc>
          <w:tcPr>
            <w:tcW w:w="1558" w:type="dxa"/>
            <w:shd w:val="clear" w:color="auto" w:fill="ECF1F9"/>
            <w:vAlign w:val="center"/>
          </w:tcPr>
          <w:p w14:paraId="30D23EC0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</w:pP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Traducido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por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:</w:t>
            </w:r>
          </w:p>
          <w:p w14:paraId="0CBE2897" w14:textId="77777777" w:rsidR="00C7757D" w:rsidRDefault="00C7757D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</w:pPr>
          </w:p>
        </w:tc>
      </w:tr>
      <w:tr w:rsidR="00C7757D" w14:paraId="71332443" w14:textId="7777777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28A170E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6A377BC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3546AE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6EE563D0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</w:tr>
      <w:tr w:rsidR="00C7757D" w14:paraId="4E5D7628" w14:textId="77777777">
        <w:trPr>
          <w:jc w:val="center"/>
        </w:trPr>
        <w:tc>
          <w:tcPr>
            <w:tcW w:w="1696" w:type="dxa"/>
            <w:shd w:val="clear" w:color="auto" w:fill="ECF1F9"/>
            <w:vAlign w:val="center"/>
          </w:tcPr>
          <w:p w14:paraId="5203085D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  <w:rtl/>
              </w:rPr>
              <w:t>مراجعة:</w:t>
            </w:r>
          </w:p>
        </w:tc>
        <w:tc>
          <w:tcPr>
            <w:tcW w:w="2976" w:type="dxa"/>
            <w:vAlign w:val="center"/>
          </w:tcPr>
          <w:p w14:paraId="5964B286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القسم العلمي بمعهد السنة</w:t>
            </w:r>
          </w:p>
        </w:tc>
        <w:tc>
          <w:tcPr>
            <w:tcW w:w="2835" w:type="dxa"/>
            <w:vAlign w:val="center"/>
          </w:tcPr>
          <w:p w14:paraId="07219740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</w:pPr>
            <w:proofErr w:type="spellStart"/>
            <w:r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  <w:t>Departamento</w:t>
            </w:r>
            <w:proofErr w:type="spellEnd"/>
            <w:r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  <w:t>Científico</w:t>
            </w:r>
            <w:proofErr w:type="spellEnd"/>
            <w:r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  <w:t xml:space="preserve"> del Instituto de la Sunnah</w:t>
            </w:r>
          </w:p>
        </w:tc>
        <w:tc>
          <w:tcPr>
            <w:tcW w:w="1558" w:type="dxa"/>
            <w:shd w:val="clear" w:color="auto" w:fill="ECF1F9"/>
            <w:vAlign w:val="center"/>
          </w:tcPr>
          <w:p w14:paraId="2EB41A30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</w:pP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Revisado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por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:</w:t>
            </w:r>
          </w:p>
        </w:tc>
      </w:tr>
      <w:tr w:rsidR="00C7757D" w14:paraId="3DC51368" w14:textId="7777777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28ACABF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1910902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1362E0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36C4FA5A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</w:tr>
      <w:tr w:rsidR="00C7757D" w14:paraId="6C1F6438" w14:textId="77777777">
        <w:trPr>
          <w:jc w:val="center"/>
        </w:trPr>
        <w:tc>
          <w:tcPr>
            <w:tcW w:w="1696" w:type="dxa"/>
            <w:shd w:val="clear" w:color="auto" w:fill="ECF1F9"/>
            <w:vAlign w:val="center"/>
          </w:tcPr>
          <w:p w14:paraId="4C8645E9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  <w:rtl/>
              </w:rPr>
              <w:t>إشراف:</w:t>
            </w:r>
          </w:p>
        </w:tc>
        <w:tc>
          <w:tcPr>
            <w:tcW w:w="2976" w:type="dxa"/>
            <w:vAlign w:val="center"/>
          </w:tcPr>
          <w:p w14:paraId="5634E046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د. هيثم سرحان</w:t>
            </w:r>
          </w:p>
        </w:tc>
        <w:tc>
          <w:tcPr>
            <w:tcW w:w="2835" w:type="dxa"/>
            <w:vAlign w:val="center"/>
          </w:tcPr>
          <w:p w14:paraId="458CB519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</w:pPr>
            <w:r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  <w:t xml:space="preserve">Dr. Haitham </w:t>
            </w:r>
            <w:proofErr w:type="spellStart"/>
            <w:r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  <w:t>Sarhan</w:t>
            </w:r>
            <w:proofErr w:type="spellEnd"/>
          </w:p>
        </w:tc>
        <w:tc>
          <w:tcPr>
            <w:tcW w:w="1558" w:type="dxa"/>
            <w:shd w:val="clear" w:color="auto" w:fill="ECF1F9"/>
            <w:vAlign w:val="center"/>
          </w:tcPr>
          <w:p w14:paraId="420C477D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Supervisor:</w:t>
            </w:r>
          </w:p>
        </w:tc>
      </w:tr>
      <w:tr w:rsidR="00C7757D" w14:paraId="2D0F3A93" w14:textId="7777777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B54A212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8DA4B67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8B9777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7B3EA364" w14:textId="77777777" w:rsidR="00C7757D" w:rsidRDefault="00C7757D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6"/>
                <w:szCs w:val="6"/>
              </w:rPr>
            </w:pPr>
          </w:p>
        </w:tc>
      </w:tr>
      <w:tr w:rsidR="00C7757D" w14:paraId="68E3F27C" w14:textId="77777777">
        <w:trPr>
          <w:jc w:val="center"/>
        </w:trPr>
        <w:tc>
          <w:tcPr>
            <w:tcW w:w="1696" w:type="dxa"/>
            <w:shd w:val="clear" w:color="auto" w:fill="ECF1F9"/>
            <w:vAlign w:val="center"/>
          </w:tcPr>
          <w:p w14:paraId="3C46EDFF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2F5496"/>
                <w:sz w:val="32"/>
                <w:szCs w:val="32"/>
                <w:rtl/>
              </w:rPr>
              <w:t>النسخة والسَّنة:</w:t>
            </w:r>
          </w:p>
        </w:tc>
        <w:tc>
          <w:tcPr>
            <w:tcW w:w="2976" w:type="dxa"/>
            <w:vAlign w:val="center"/>
          </w:tcPr>
          <w:p w14:paraId="08252C40" w14:textId="77777777" w:rsidR="00C7757D" w:rsidRDefault="001E65BA">
            <w:pPr>
              <w:spacing w:after="0" w:line="240" w:lineRule="auto"/>
              <w:jc w:val="center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الأولى - 1443هـ</w:t>
            </w:r>
          </w:p>
        </w:tc>
        <w:tc>
          <w:tcPr>
            <w:tcW w:w="2835" w:type="dxa"/>
            <w:vAlign w:val="center"/>
          </w:tcPr>
          <w:p w14:paraId="151F5A36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</w:pPr>
            <w:r>
              <w:rPr>
                <w:rFonts w:ascii="Andalus" w:eastAsia="Andalus" w:hAnsi="Andalus" w:cs="Andalus"/>
                <w:b/>
                <w:color w:val="161616"/>
                <w:sz w:val="26"/>
                <w:szCs w:val="26"/>
              </w:rPr>
              <w:t>Primera - 1443H</w:t>
            </w:r>
          </w:p>
        </w:tc>
        <w:tc>
          <w:tcPr>
            <w:tcW w:w="1558" w:type="dxa"/>
            <w:shd w:val="clear" w:color="auto" w:fill="ECF1F9"/>
            <w:vAlign w:val="center"/>
          </w:tcPr>
          <w:p w14:paraId="6ED47D9D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</w:pP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Edición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 xml:space="preserve"> y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26"/>
                <w:szCs w:val="26"/>
              </w:rPr>
              <w:t>Año</w:t>
            </w:r>
            <w:proofErr w:type="spellEnd"/>
          </w:p>
        </w:tc>
      </w:tr>
    </w:tbl>
    <w:p w14:paraId="0BDA6208" w14:textId="77777777" w:rsidR="00C7757D" w:rsidRDefault="00C7757D">
      <w:pPr>
        <w:jc w:val="center"/>
        <w:rPr>
          <w:rFonts w:ascii="Lotus Linotype" w:eastAsia="Lotus Linotype" w:hAnsi="Lotus Linotype" w:cs="Lotus Linotype"/>
          <w:color w:val="161616"/>
          <w:sz w:val="32"/>
          <w:szCs w:val="32"/>
        </w:rPr>
      </w:pPr>
      <w:bookmarkStart w:id="1" w:name="_30j0zll" w:colFirst="0" w:colLast="0"/>
      <w:bookmarkEnd w:id="1"/>
    </w:p>
    <w:p w14:paraId="53EF7E5C" w14:textId="77777777" w:rsidR="00C7757D" w:rsidRDefault="00C7757D">
      <w:pPr>
        <w:jc w:val="center"/>
        <w:rPr>
          <w:rFonts w:ascii="Lotus Linotype" w:eastAsia="Lotus Linotype" w:hAnsi="Lotus Linotype" w:cs="Lotus Linotype"/>
          <w:color w:val="161616"/>
          <w:sz w:val="32"/>
          <w:szCs w:val="32"/>
        </w:rPr>
      </w:pPr>
    </w:p>
    <w:p w14:paraId="25CF64C4" w14:textId="77777777" w:rsidR="00C7757D" w:rsidRDefault="00C7757D">
      <w:pPr>
        <w:jc w:val="center"/>
        <w:rPr>
          <w:rFonts w:ascii="Lotus Linotype" w:eastAsia="Lotus Linotype" w:hAnsi="Lotus Linotype" w:cs="Lotus Linotype"/>
          <w:color w:val="161616"/>
          <w:sz w:val="32"/>
          <w:szCs w:val="32"/>
        </w:rPr>
      </w:pPr>
    </w:p>
    <w:p w14:paraId="205988C6" w14:textId="77777777" w:rsidR="00C7757D" w:rsidRDefault="001E65BA">
      <w:pPr>
        <w:jc w:val="center"/>
        <w:rPr>
          <w:rFonts w:ascii="Lotus Linotype" w:eastAsia="Lotus Linotype" w:hAnsi="Lotus Linotype" w:cs="Lotus Linotype"/>
          <w:color w:val="161616"/>
          <w:sz w:val="32"/>
          <w:szCs w:val="32"/>
        </w:rPr>
      </w:pPr>
      <w:r>
        <w:rPr>
          <w:rFonts w:ascii="Lotus Linotype" w:eastAsia="Lotus Linotype" w:hAnsi="Lotus Linotype" w:cs="Lotus Linotype"/>
          <w:noProof/>
          <w:color w:val="161616"/>
          <w:sz w:val="32"/>
          <w:szCs w:val="32"/>
        </w:rPr>
        <w:drawing>
          <wp:inline distT="0" distB="0" distL="0" distR="0" wp14:anchorId="7C0F2A16" wp14:editId="6CCE7C95">
            <wp:extent cx="2347116" cy="444899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7116" cy="444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E0D80B" w14:textId="77777777" w:rsidR="00C7757D" w:rsidRDefault="00C7757D">
      <w:pPr>
        <w:jc w:val="center"/>
        <w:rPr>
          <w:rFonts w:ascii="Lotus Linotype" w:eastAsia="Lotus Linotype" w:hAnsi="Lotus Linotype" w:cs="Lotus Linotype"/>
          <w:color w:val="2F5496"/>
          <w:sz w:val="32"/>
          <w:szCs w:val="32"/>
        </w:rPr>
      </w:pPr>
    </w:p>
    <w:p w14:paraId="3DCCD5BE" w14:textId="77777777" w:rsidR="00C7757D" w:rsidRDefault="001E65BA">
      <w:pPr>
        <w:jc w:val="center"/>
        <w:rPr>
          <w:rFonts w:ascii="Lotus Linotype" w:eastAsia="Lotus Linotype" w:hAnsi="Lotus Linotype" w:cs="Lotus Linotype"/>
          <w:color w:val="2F5496"/>
          <w:sz w:val="32"/>
          <w:szCs w:val="32"/>
        </w:rPr>
      </w:pPr>
      <w:r>
        <w:rPr>
          <w:rFonts w:ascii="Lotus Linotype" w:eastAsia="Lotus Linotype" w:hAnsi="Lotus Linotype" w:cs="Lotus Linotype"/>
          <w:color w:val="2F5496"/>
          <w:sz w:val="32"/>
          <w:szCs w:val="32"/>
          <w:rtl/>
        </w:rPr>
        <w:t>الطَّبعة الأولى</w:t>
      </w:r>
    </w:p>
    <w:p w14:paraId="7630B941" w14:textId="77777777" w:rsidR="00C7757D" w:rsidRDefault="001E65BA">
      <w:pPr>
        <w:jc w:val="center"/>
        <w:rPr>
          <w:rFonts w:ascii="Lotus Linotype" w:eastAsia="Lotus Linotype" w:hAnsi="Lotus Linotype" w:cs="Lotus Linotype"/>
          <w:color w:val="2F5496"/>
          <w:sz w:val="32"/>
          <w:szCs w:val="32"/>
        </w:rPr>
      </w:pPr>
      <w:r>
        <w:rPr>
          <w:rFonts w:ascii="Lotus Linotype" w:eastAsia="Lotus Linotype" w:hAnsi="Lotus Linotype" w:cs="Lotus Linotype"/>
          <w:color w:val="2F5496"/>
          <w:sz w:val="32"/>
          <w:szCs w:val="32"/>
          <w:rtl/>
        </w:rPr>
        <w:t>الحقوق متاحة لكلِّ مسلمٍ ومسلمةٍ</w:t>
      </w:r>
    </w:p>
    <w:p w14:paraId="463FEDA5" w14:textId="77777777" w:rsidR="00C7757D" w:rsidRDefault="001E65BA">
      <w:pPr>
        <w:jc w:val="center"/>
        <w:rPr>
          <w:color w:val="2F5496"/>
          <w:sz w:val="32"/>
          <w:szCs w:val="32"/>
        </w:rPr>
      </w:pPr>
      <w:r>
        <w:rPr>
          <w:rFonts w:ascii="Lotus Linotype" w:eastAsia="Lotus Linotype" w:hAnsi="Lotus Linotype" w:cs="Lotus Linotype"/>
          <w:color w:val="2F5496"/>
          <w:sz w:val="32"/>
          <w:szCs w:val="32"/>
          <w:rtl/>
        </w:rPr>
        <w:t xml:space="preserve">الرَّجاء التَّواصل على:  </w:t>
      </w:r>
      <w:r>
        <w:rPr>
          <w:rFonts w:ascii="Lotus Linotype" w:eastAsia="Lotus Linotype" w:hAnsi="Lotus Linotype" w:cs="Lotus Linotype"/>
          <w:color w:val="2F5496"/>
          <w:sz w:val="24"/>
          <w:szCs w:val="24"/>
        </w:rPr>
        <w:t xml:space="preserve"> </w:t>
      </w:r>
      <w:r>
        <w:rPr>
          <w:color w:val="2F5496"/>
          <w:sz w:val="28"/>
          <w:szCs w:val="28"/>
        </w:rPr>
        <w:t>islamtorrent@gmail.com</w:t>
      </w:r>
    </w:p>
    <w:p w14:paraId="1D8CB6AC" w14:textId="77777777" w:rsidR="00C7757D" w:rsidRDefault="001E65BA">
      <w:pPr>
        <w:jc w:val="center"/>
        <w:rPr>
          <w:rFonts w:ascii="Lotus Linotype" w:eastAsia="Lotus Linotype" w:hAnsi="Lotus Linotype" w:cs="Lotus Linotype"/>
          <w:color w:val="2F5496"/>
          <w:sz w:val="32"/>
          <w:szCs w:val="32"/>
        </w:rPr>
      </w:pPr>
      <w:r>
        <w:rPr>
          <w:rFonts w:ascii="Lotus Linotype" w:eastAsia="Lotus Linotype" w:hAnsi="Lotus Linotype" w:cs="Lotus Linotype"/>
          <w:color w:val="2F5496"/>
          <w:sz w:val="32"/>
          <w:szCs w:val="32"/>
          <w:rtl/>
        </w:rPr>
        <w:t>فسح وزارة الإعلام</w:t>
      </w:r>
    </w:p>
    <w:p w14:paraId="3A48B542" w14:textId="77777777" w:rsidR="00C7757D" w:rsidRDefault="00C7757D">
      <w:pPr>
        <w:jc w:val="center"/>
        <w:rPr>
          <w:rFonts w:ascii="Lotus Linotype" w:eastAsia="Lotus Linotype" w:hAnsi="Lotus Linotype" w:cs="Lotus Linotype"/>
          <w:color w:val="2F5496"/>
          <w:sz w:val="32"/>
          <w:szCs w:val="32"/>
        </w:rPr>
      </w:pPr>
    </w:p>
    <w:p w14:paraId="125E777A" w14:textId="77777777" w:rsidR="00C7757D" w:rsidRDefault="001E65BA">
      <w:pPr>
        <w:jc w:val="center"/>
      </w:pPr>
      <w:r>
        <w:rPr>
          <w:rFonts w:ascii="Lotus Linotype" w:eastAsia="Lotus Linotype" w:hAnsi="Lotus Linotype" w:cs="Lotus Linotype"/>
          <w:noProof/>
          <w:color w:val="2F5496"/>
          <w:sz w:val="52"/>
          <w:szCs w:val="52"/>
        </w:rPr>
        <w:drawing>
          <wp:inline distT="0" distB="0" distL="0" distR="0" wp14:anchorId="488E643A" wp14:editId="19A7E7E7">
            <wp:extent cx="2679405" cy="489239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405" cy="4892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1A3645" w14:textId="77777777" w:rsidR="00C7757D" w:rsidRDefault="00C7757D"/>
    <w:p w14:paraId="01A0E2B1" w14:textId="77777777" w:rsidR="00C7757D" w:rsidRDefault="00C7757D">
      <w:pPr>
        <w:sectPr w:rsidR="00C7757D">
          <w:pgSz w:w="11906" w:h="16838"/>
          <w:pgMar w:top="1418" w:right="1133" w:bottom="1985" w:left="1134" w:header="426" w:footer="303" w:gutter="0"/>
          <w:pgNumType w:start="1"/>
          <w:cols w:space="720"/>
        </w:sectPr>
      </w:pPr>
    </w:p>
    <w:p w14:paraId="142549D0" w14:textId="77777777" w:rsidR="00C7757D" w:rsidRDefault="00C7757D"/>
    <w:p w14:paraId="758D7C2A" w14:textId="77777777" w:rsidR="00C7757D" w:rsidRDefault="001E65BA">
      <w:r>
        <w:br w:type="page"/>
      </w:r>
    </w:p>
    <w:p w14:paraId="4FE1472A" w14:textId="77777777" w:rsidR="00C7757D" w:rsidRDefault="001E65BA" w:rsidP="00F762E1">
      <w:pPr>
        <w:spacing w:after="0" w:line="240" w:lineRule="auto"/>
        <w:jc w:val="center"/>
        <w:rPr>
          <w:sz w:val="80"/>
          <w:szCs w:val="80"/>
        </w:rPr>
      </w:pPr>
      <w:r>
        <w:rPr>
          <w:rFonts w:ascii="Lotus Linotype" w:eastAsia="Lotus Linotype" w:hAnsi="Lotus Linotype" w:cs="Lotus Linotype"/>
          <w:color w:val="2F5496"/>
          <w:sz w:val="80"/>
          <w:szCs w:val="80"/>
        </w:rPr>
        <w:lastRenderedPageBreak/>
        <w:t>¢</w:t>
      </w:r>
    </w:p>
    <w:p w14:paraId="1073E7B5" w14:textId="77777777" w:rsidR="00C7757D" w:rsidRDefault="00C7757D">
      <w:pPr>
        <w:spacing w:after="0" w:line="240" w:lineRule="auto"/>
      </w:pPr>
    </w:p>
    <w:tbl>
      <w:tblPr>
        <w:tblStyle w:val="a0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5B3C5D61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498CCF3D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t>الحقُّ الأوَّل: حقُّ الله تعالى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39F731C0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16161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primer derecho: El derecho de Allah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el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Altísimo</w:t>
            </w:r>
            <w:proofErr w:type="spellEnd"/>
          </w:p>
        </w:tc>
      </w:tr>
      <w:tr w:rsidR="00C7757D" w14:paraId="709652CA" w14:textId="77777777">
        <w:trPr>
          <w:jc w:val="center"/>
        </w:trPr>
        <w:tc>
          <w:tcPr>
            <w:tcW w:w="4672" w:type="dxa"/>
            <w:vAlign w:val="center"/>
          </w:tcPr>
          <w:p w14:paraId="35D728C8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 xml:space="preserve">أن تعبده وحده لا شريك له، وتكون عبدًا مُتذلِّلًا خاضعًا له، مُمتثلًا لأمره، مُجتنبًا لنهيه، مُصدِّقًا بخبره. </w:t>
            </w:r>
          </w:p>
          <w:p w14:paraId="1A4452A1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 xml:space="preserve">عقيدةٌ مُثلى، وإيمانٌ بالحقِّ، وعملٌ صالحٌ مُثمرٌ. </w:t>
            </w:r>
          </w:p>
          <w:p w14:paraId="4A22B963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عقيدةٌ قِوامها: المحبَّة والتَّعظيم، وثمرتها: الإخلاص والمُثابرة.</w:t>
            </w:r>
          </w:p>
        </w:tc>
        <w:tc>
          <w:tcPr>
            <w:tcW w:w="4393" w:type="dxa"/>
            <w:vAlign w:val="center"/>
          </w:tcPr>
          <w:p w14:paraId="312EEF12" w14:textId="56B49C8D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proofErr w:type="spellStart"/>
            <w:r>
              <w:rPr>
                <w:color w:val="161616"/>
                <w:sz w:val="24"/>
                <w:szCs w:val="24"/>
              </w:rPr>
              <w:t>Adorarlo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solo a </w:t>
            </w:r>
            <w:proofErr w:type="spellStart"/>
            <w:r>
              <w:rPr>
                <w:color w:val="161616"/>
                <w:sz w:val="24"/>
                <w:szCs w:val="24"/>
              </w:rPr>
              <w:t>Él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sin </w:t>
            </w:r>
            <w:proofErr w:type="spellStart"/>
            <w:r>
              <w:rPr>
                <w:color w:val="161616"/>
                <w:sz w:val="24"/>
                <w:szCs w:val="24"/>
              </w:rPr>
              <w:t>ningún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compañero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y que seas un </w:t>
            </w:r>
            <w:r w:rsidR="00704D33" w:rsidRPr="00F762E1">
              <w:rPr>
                <w:color w:val="161616"/>
                <w:sz w:val="24"/>
                <w:szCs w:val="24"/>
              </w:rPr>
              <w:t>siervo</w:t>
            </w:r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humilde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sumiso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161616"/>
                <w:sz w:val="24"/>
                <w:szCs w:val="24"/>
              </w:rPr>
              <w:t>Él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obedeciendo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Sus </w:t>
            </w:r>
            <w:proofErr w:type="spellStart"/>
            <w:r>
              <w:rPr>
                <w:color w:val="161616"/>
                <w:sz w:val="24"/>
                <w:szCs w:val="24"/>
              </w:rPr>
              <w:t>mandamientos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evitando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Sus </w:t>
            </w:r>
            <w:proofErr w:type="spellStart"/>
            <w:r>
              <w:rPr>
                <w:color w:val="161616"/>
                <w:sz w:val="24"/>
                <w:szCs w:val="24"/>
              </w:rPr>
              <w:t>prohibiciones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creyendo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lo que </w:t>
            </w:r>
            <w:proofErr w:type="spellStart"/>
            <w:r>
              <w:rPr>
                <w:color w:val="161616"/>
                <w:sz w:val="24"/>
                <w:szCs w:val="24"/>
              </w:rPr>
              <w:t>Él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nos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informó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. Es una Aqedah perfecta (credo </w:t>
            </w:r>
            <w:proofErr w:type="spellStart"/>
            <w:r>
              <w:rPr>
                <w:color w:val="161616"/>
                <w:sz w:val="24"/>
                <w:szCs w:val="24"/>
              </w:rPr>
              <w:t>islámico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), </w:t>
            </w:r>
            <w:proofErr w:type="spellStart"/>
            <w:r>
              <w:rPr>
                <w:color w:val="161616"/>
                <w:sz w:val="24"/>
                <w:szCs w:val="24"/>
              </w:rPr>
              <w:t>creencia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la </w:t>
            </w:r>
            <w:proofErr w:type="spellStart"/>
            <w:r>
              <w:rPr>
                <w:color w:val="161616"/>
                <w:sz w:val="24"/>
                <w:szCs w:val="24"/>
              </w:rPr>
              <w:t>verdad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obras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fructíferas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justas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. Es </w:t>
            </w:r>
            <w:proofErr w:type="spellStart"/>
            <w:r>
              <w:rPr>
                <w:color w:val="161616"/>
                <w:sz w:val="24"/>
                <w:szCs w:val="24"/>
              </w:rPr>
              <w:t>una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Aqedah </w:t>
            </w:r>
            <w:proofErr w:type="spellStart"/>
            <w:r>
              <w:rPr>
                <w:color w:val="161616"/>
                <w:sz w:val="24"/>
                <w:szCs w:val="24"/>
              </w:rPr>
              <w:t>basada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amor y la </w:t>
            </w:r>
            <w:proofErr w:type="spellStart"/>
            <w:r>
              <w:rPr>
                <w:color w:val="161616"/>
                <w:sz w:val="24"/>
                <w:szCs w:val="24"/>
              </w:rPr>
              <w:t>glorificación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; </w:t>
            </w:r>
            <w:proofErr w:type="spellStart"/>
            <w:r>
              <w:rPr>
                <w:color w:val="161616"/>
                <w:sz w:val="24"/>
                <w:szCs w:val="24"/>
              </w:rPr>
              <w:t>su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fruto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es la </w:t>
            </w:r>
            <w:proofErr w:type="spellStart"/>
            <w:r>
              <w:rPr>
                <w:color w:val="161616"/>
                <w:sz w:val="24"/>
                <w:szCs w:val="24"/>
              </w:rPr>
              <w:t>sinceridad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la </w:t>
            </w:r>
            <w:proofErr w:type="spellStart"/>
            <w:r>
              <w:rPr>
                <w:color w:val="161616"/>
                <w:sz w:val="24"/>
                <w:szCs w:val="24"/>
              </w:rPr>
              <w:t>perseverancia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</w:p>
        </w:tc>
      </w:tr>
    </w:tbl>
    <w:p w14:paraId="51F2F3A3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tbl>
      <w:tblPr>
        <w:tblStyle w:val="a1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4317B1D4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70798F8D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t xml:space="preserve">الحقُّ الثَّاني: حقّ رسول اللّه </w:t>
            </w:r>
            <w:r w:rsidRPr="00F762E1">
              <w:rPr>
                <w:rFonts w:ascii="Lotus Linotype" w:hAnsi="Lotus Linotype" w:cs="Lotus Linotype"/>
                <w:b w:val="0"/>
                <w:color w:val="2F5496"/>
                <w:sz w:val="32"/>
                <w:szCs w:val="32"/>
                <w:rtl/>
              </w:rPr>
              <w:t>ﷺ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0284FE2D" w14:textId="69E6ADBA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segundo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derecho: El derecho del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Mensajero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de Allah</w:t>
            </w:r>
            <w:r w:rsidR="00704D33"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,</w:t>
            </w: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la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paz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y las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bendiciones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de Allah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sean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con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él</w:t>
            </w:r>
            <w:proofErr w:type="spellEnd"/>
          </w:p>
        </w:tc>
      </w:tr>
      <w:tr w:rsidR="00C7757D" w14:paraId="49B4F5E0" w14:textId="77777777">
        <w:trPr>
          <w:jc w:val="center"/>
        </w:trPr>
        <w:tc>
          <w:tcPr>
            <w:tcW w:w="4672" w:type="dxa"/>
            <w:vAlign w:val="center"/>
          </w:tcPr>
          <w:p w14:paraId="7F0DF5AB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توقيره، واحترامه، وتعظيمه؛ التَّعظيمَ اللَّائقَ به، من غير غُلوٍّ ولا تقصيرٍ.</w:t>
            </w:r>
          </w:p>
          <w:p w14:paraId="5596A84A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وتصديقُه فيما أخبر به من الأمور الماضية والمُستقبَلة، وامتثالُ ما به أمرَ، واجتناب ما عنه نهى وزجرَ، والإيمانُ بأنَّ هديَه أكملُ الهدي، والدِّفاعُ عن شريعته وهديه.</w:t>
            </w:r>
          </w:p>
        </w:tc>
        <w:tc>
          <w:tcPr>
            <w:tcW w:w="4393" w:type="dxa"/>
            <w:vAlign w:val="center"/>
          </w:tcPr>
          <w:p w14:paraId="0FC312CD" w14:textId="14CA214A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El derecho del </w:t>
            </w:r>
            <w:proofErr w:type="spellStart"/>
            <w:r>
              <w:rPr>
                <w:color w:val="161616"/>
                <w:sz w:val="24"/>
                <w:szCs w:val="24"/>
              </w:rPr>
              <w:t>Mensajero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Allah </w:t>
            </w:r>
            <w:r>
              <w:rPr>
                <w:color w:val="161616"/>
                <w:sz w:val="24"/>
                <w:szCs w:val="24"/>
                <w:rtl/>
              </w:rPr>
              <w:t>صلى الله عليه وسلم</w:t>
            </w:r>
            <w:r>
              <w:rPr>
                <w:color w:val="161616"/>
                <w:sz w:val="24"/>
                <w:szCs w:val="24"/>
              </w:rPr>
              <w:t xml:space="preserve"> es ser </w:t>
            </w:r>
            <w:proofErr w:type="spellStart"/>
            <w:r w:rsidR="00162F5F">
              <w:rPr>
                <w:color w:val="161616"/>
                <w:sz w:val="24"/>
                <w:szCs w:val="24"/>
              </w:rPr>
              <w:t>honrarlo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 w:rsidR="00162F5F">
              <w:rPr>
                <w:color w:val="161616"/>
                <w:sz w:val="24"/>
                <w:szCs w:val="24"/>
              </w:rPr>
              <w:t>respetarlo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 w:rsidR="00162F5F">
              <w:rPr>
                <w:color w:val="161616"/>
                <w:sz w:val="24"/>
                <w:szCs w:val="24"/>
              </w:rPr>
              <w:t>exaltarlo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apropiadamente</w:t>
            </w:r>
            <w:proofErr w:type="spellEnd"/>
            <w:r w:rsidR="00162F5F">
              <w:rPr>
                <w:color w:val="161616"/>
                <w:sz w:val="24"/>
                <w:szCs w:val="24"/>
              </w:rPr>
              <w:t>,</w:t>
            </w:r>
            <w:r>
              <w:rPr>
                <w:color w:val="161616"/>
                <w:sz w:val="24"/>
                <w:szCs w:val="24"/>
              </w:rPr>
              <w:t xml:space="preserve"> sin </w:t>
            </w:r>
            <w:proofErr w:type="spellStart"/>
            <w:r>
              <w:rPr>
                <w:color w:val="161616"/>
                <w:sz w:val="24"/>
                <w:szCs w:val="24"/>
              </w:rPr>
              <w:t>exageración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ni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deficiencia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161616"/>
                <w:sz w:val="24"/>
                <w:szCs w:val="24"/>
              </w:rPr>
              <w:t>También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creyendo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lo que </w:t>
            </w:r>
            <w:proofErr w:type="spellStart"/>
            <w:r>
              <w:rPr>
                <w:color w:val="161616"/>
                <w:sz w:val="24"/>
                <w:szCs w:val="24"/>
              </w:rPr>
              <w:t>nos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ha </w:t>
            </w:r>
            <w:proofErr w:type="spellStart"/>
            <w:r>
              <w:rPr>
                <w:color w:val="161616"/>
                <w:sz w:val="24"/>
                <w:szCs w:val="24"/>
              </w:rPr>
              <w:t>informado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sobre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eventos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pasados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futuros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haciendo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lo que </w:t>
            </w:r>
            <w:proofErr w:type="spellStart"/>
            <w:r>
              <w:rPr>
                <w:color w:val="161616"/>
                <w:sz w:val="24"/>
                <w:szCs w:val="24"/>
              </w:rPr>
              <w:t>nos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ordenó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hacer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evitando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lo que </w:t>
            </w:r>
            <w:proofErr w:type="spellStart"/>
            <w:r>
              <w:rPr>
                <w:color w:val="161616"/>
                <w:sz w:val="24"/>
                <w:szCs w:val="24"/>
              </w:rPr>
              <w:t>prohibió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creyendo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161616"/>
                <w:sz w:val="24"/>
                <w:szCs w:val="24"/>
              </w:rPr>
              <w:t>su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guía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es la </w:t>
            </w:r>
            <w:proofErr w:type="spellStart"/>
            <w:r w:rsidR="00162F5F">
              <w:rPr>
                <w:color w:val="161616"/>
                <w:sz w:val="24"/>
                <w:szCs w:val="24"/>
              </w:rPr>
              <w:t>más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perfecta y </w:t>
            </w:r>
            <w:proofErr w:type="spellStart"/>
            <w:r>
              <w:rPr>
                <w:color w:val="161616"/>
                <w:sz w:val="24"/>
                <w:szCs w:val="24"/>
              </w:rPr>
              <w:t>defendiendo</w:t>
            </w:r>
            <w:r w:rsidR="00162F5F">
              <w:rPr>
                <w:color w:val="161616"/>
                <w:sz w:val="24"/>
                <w:szCs w:val="24"/>
              </w:rPr>
              <w:t>la</w:t>
            </w:r>
            <w:proofErr w:type="spellEnd"/>
            <w:r w:rsidR="00162F5F">
              <w:rPr>
                <w:color w:val="161616"/>
                <w:sz w:val="24"/>
                <w:szCs w:val="24"/>
              </w:rPr>
              <w:t xml:space="preserve"> junto con</w:t>
            </w:r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su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Shari'ah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161616"/>
                <w:sz w:val="24"/>
                <w:szCs w:val="24"/>
              </w:rPr>
              <w:t>legislación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islámica</w:t>
            </w:r>
            <w:proofErr w:type="spellEnd"/>
            <w:r>
              <w:rPr>
                <w:color w:val="161616"/>
                <w:sz w:val="24"/>
                <w:szCs w:val="24"/>
              </w:rPr>
              <w:t>).</w:t>
            </w:r>
          </w:p>
        </w:tc>
      </w:tr>
    </w:tbl>
    <w:p w14:paraId="3E495D14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tbl>
      <w:tblPr>
        <w:tblStyle w:val="a2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154507B8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1F84A5C7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lastRenderedPageBreak/>
              <w:t>الحقُّ الثَّالث: حقّ الوالدين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3ED89125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tercer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derecho: El derecho de los padres</w:t>
            </w:r>
          </w:p>
        </w:tc>
      </w:tr>
      <w:tr w:rsidR="00C7757D" w14:paraId="571EAA6A" w14:textId="77777777">
        <w:trPr>
          <w:jc w:val="center"/>
        </w:trPr>
        <w:tc>
          <w:tcPr>
            <w:tcW w:w="4672" w:type="dxa"/>
            <w:vAlign w:val="center"/>
          </w:tcPr>
          <w:p w14:paraId="1445D811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أن تبرَّهما، وذلك بالإحسان إليهما قولًا وفعلًا، بالمال والبدن، وتمتثل أمرهما في غير معصية الله، وفي غير ما فيه ضررٌ عليك.</w:t>
            </w:r>
          </w:p>
        </w:tc>
        <w:tc>
          <w:tcPr>
            <w:tcW w:w="4393" w:type="dxa"/>
            <w:vAlign w:val="center"/>
          </w:tcPr>
          <w:p w14:paraId="1A24F117" w14:textId="2F9AE2A4" w:rsidR="00162F5F" w:rsidRDefault="00162F5F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proofErr w:type="spellStart"/>
            <w:r>
              <w:rPr>
                <w:color w:val="161616"/>
                <w:sz w:val="24"/>
                <w:szCs w:val="24"/>
              </w:rPr>
              <w:t>Tratarlos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bien </w:t>
            </w:r>
            <w:proofErr w:type="spellStart"/>
            <w:r>
              <w:rPr>
                <w:color w:val="161616"/>
                <w:sz w:val="24"/>
                <w:szCs w:val="24"/>
              </w:rPr>
              <w:t>haciendoles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bien, </w:t>
            </w:r>
            <w:proofErr w:type="spellStart"/>
            <w:r>
              <w:rPr>
                <w:color w:val="161616"/>
                <w:sz w:val="24"/>
                <w:szCs w:val="24"/>
              </w:rPr>
              <w:t>mediante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la palabra y las </w:t>
            </w:r>
            <w:proofErr w:type="spellStart"/>
            <w:r>
              <w:rPr>
                <w:color w:val="161616"/>
                <w:sz w:val="24"/>
                <w:szCs w:val="24"/>
              </w:rPr>
              <w:t>acciones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con lo </w:t>
            </w:r>
            <w:proofErr w:type="spellStart"/>
            <w:r>
              <w:rPr>
                <w:color w:val="161616"/>
                <w:sz w:val="24"/>
                <w:szCs w:val="24"/>
              </w:rPr>
              <w:t>físico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lo </w:t>
            </w:r>
            <w:proofErr w:type="spellStart"/>
            <w:r>
              <w:rPr>
                <w:color w:val="161616"/>
                <w:sz w:val="24"/>
                <w:szCs w:val="24"/>
              </w:rPr>
              <w:t>económico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y que les </w:t>
            </w:r>
            <w:proofErr w:type="spellStart"/>
            <w:r>
              <w:rPr>
                <w:color w:val="161616"/>
                <w:sz w:val="24"/>
                <w:szCs w:val="24"/>
              </w:rPr>
              <w:t>obedezcas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lo que no </w:t>
            </w:r>
            <w:proofErr w:type="spellStart"/>
            <w:r>
              <w:rPr>
                <w:color w:val="161616"/>
                <w:sz w:val="24"/>
                <w:szCs w:val="24"/>
              </w:rPr>
              <w:t>implique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una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desobediencia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161616"/>
                <w:sz w:val="24"/>
                <w:szCs w:val="24"/>
              </w:rPr>
              <w:t>a</w:t>
            </w:r>
            <w:proofErr w:type="gramEnd"/>
            <w:r>
              <w:rPr>
                <w:color w:val="161616"/>
                <w:sz w:val="24"/>
                <w:szCs w:val="24"/>
              </w:rPr>
              <w:t xml:space="preserve"> Allah </w:t>
            </w:r>
            <w:r w:rsidR="008600D7">
              <w:rPr>
                <w:color w:val="161616"/>
                <w:sz w:val="24"/>
                <w:szCs w:val="24"/>
              </w:rPr>
              <w:t xml:space="preserve">o </w:t>
            </w:r>
            <w:proofErr w:type="spellStart"/>
            <w:r>
              <w:rPr>
                <w:color w:val="161616"/>
                <w:sz w:val="24"/>
                <w:szCs w:val="24"/>
              </w:rPr>
              <w:t>suponga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un </w:t>
            </w:r>
            <w:proofErr w:type="spellStart"/>
            <w:r>
              <w:rPr>
                <w:color w:val="161616"/>
                <w:sz w:val="24"/>
                <w:szCs w:val="24"/>
              </w:rPr>
              <w:t>perjuicio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para </w:t>
            </w:r>
            <w:proofErr w:type="spellStart"/>
            <w:r>
              <w:rPr>
                <w:color w:val="161616"/>
                <w:sz w:val="24"/>
                <w:szCs w:val="24"/>
              </w:rPr>
              <w:t>ti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</w:p>
          <w:p w14:paraId="567EBCD2" w14:textId="1BB3D372" w:rsidR="00C7757D" w:rsidRDefault="00C7757D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</w:p>
        </w:tc>
      </w:tr>
    </w:tbl>
    <w:p w14:paraId="4E7C9473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tbl>
      <w:tblPr>
        <w:tblStyle w:val="a3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3D9CA728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1C57E7DB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t>الحقُّ الرَّابع: حقّ الأولاد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73667B7F" w14:textId="41BDC4A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cuarto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derecho: El derecho de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los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  <w:proofErr w:type="spellStart"/>
            <w:r w:rsidR="008600D7"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hijos</w:t>
            </w:r>
            <w:proofErr w:type="spellEnd"/>
          </w:p>
        </w:tc>
      </w:tr>
      <w:tr w:rsidR="00C7757D" w14:paraId="082EC14A" w14:textId="77777777">
        <w:trPr>
          <w:jc w:val="center"/>
        </w:trPr>
        <w:tc>
          <w:tcPr>
            <w:tcW w:w="4672" w:type="dxa"/>
            <w:vAlign w:val="center"/>
          </w:tcPr>
          <w:p w14:paraId="3DC57249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(1) التَّربية؛ وهي تنمية الدِّين والأخلاق في نفوسهم، حتَّى يكونوا على جانبٍ كبيرٍ من ذلك.</w:t>
            </w:r>
          </w:p>
          <w:p w14:paraId="5ABE42AB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(2) أن يُنفَق عليهم بالمعروف، من غير إسرافٍ ولا تقصيرٍ.</w:t>
            </w:r>
          </w:p>
          <w:p w14:paraId="50108664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(3) ألَّا يُفضَّل أحدٌ منهم على أحدٍ في العطايا والهبات.</w:t>
            </w:r>
          </w:p>
        </w:tc>
        <w:tc>
          <w:tcPr>
            <w:tcW w:w="4393" w:type="dxa"/>
            <w:vAlign w:val="center"/>
          </w:tcPr>
          <w:p w14:paraId="2500963A" w14:textId="761B8DDE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(1) </w:t>
            </w:r>
            <w:r w:rsidR="008600D7">
              <w:rPr>
                <w:color w:val="161616"/>
                <w:sz w:val="24"/>
                <w:szCs w:val="24"/>
              </w:rPr>
              <w:t xml:space="preserve">La </w:t>
            </w:r>
            <w:proofErr w:type="spellStart"/>
            <w:r w:rsidR="008600D7">
              <w:rPr>
                <w:color w:val="161616"/>
                <w:sz w:val="24"/>
                <w:szCs w:val="24"/>
              </w:rPr>
              <w:t>e</w:t>
            </w:r>
            <w:r>
              <w:rPr>
                <w:color w:val="161616"/>
                <w:sz w:val="24"/>
                <w:szCs w:val="24"/>
              </w:rPr>
              <w:t>ducación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: </w:t>
            </w:r>
            <w:r w:rsidR="008600D7">
              <w:rPr>
                <w:color w:val="161616"/>
                <w:sz w:val="24"/>
                <w:szCs w:val="24"/>
              </w:rPr>
              <w:t xml:space="preserve">y </w:t>
            </w:r>
            <w:r>
              <w:rPr>
                <w:color w:val="161616"/>
                <w:sz w:val="24"/>
                <w:szCs w:val="24"/>
              </w:rPr>
              <w:t xml:space="preserve">es </w:t>
            </w:r>
            <w:proofErr w:type="spellStart"/>
            <w:r w:rsidR="008600D7">
              <w:rPr>
                <w:color w:val="161616"/>
                <w:sz w:val="24"/>
                <w:szCs w:val="24"/>
              </w:rPr>
              <w:t>desarollar</w:t>
            </w:r>
            <w:proofErr w:type="spellEnd"/>
            <w:r w:rsidR="008600D7">
              <w:rPr>
                <w:color w:val="161616"/>
                <w:sz w:val="24"/>
                <w:szCs w:val="24"/>
              </w:rPr>
              <w:t xml:space="preserve"> la </w:t>
            </w:r>
            <w:proofErr w:type="spellStart"/>
            <w:r>
              <w:rPr>
                <w:color w:val="161616"/>
                <w:sz w:val="24"/>
                <w:szCs w:val="24"/>
              </w:rPr>
              <w:t>religión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buenos </w:t>
            </w:r>
            <w:proofErr w:type="spellStart"/>
            <w:r>
              <w:rPr>
                <w:color w:val="161616"/>
                <w:sz w:val="24"/>
                <w:szCs w:val="24"/>
              </w:rPr>
              <w:t>modales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8600D7">
              <w:rPr>
                <w:color w:val="161616"/>
                <w:sz w:val="24"/>
                <w:szCs w:val="24"/>
              </w:rPr>
              <w:t>ellos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hasta que </w:t>
            </w:r>
            <w:proofErr w:type="spellStart"/>
            <w:r w:rsidR="008600D7">
              <w:rPr>
                <w:color w:val="161616"/>
                <w:sz w:val="24"/>
                <w:szCs w:val="24"/>
              </w:rPr>
              <w:t>alcancen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un alto </w:t>
            </w:r>
            <w:proofErr w:type="spellStart"/>
            <w:r>
              <w:rPr>
                <w:color w:val="161616"/>
                <w:sz w:val="24"/>
                <w:szCs w:val="24"/>
              </w:rPr>
              <w:t>nivel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8600D7"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ello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  <w:r>
              <w:rPr>
                <w:color w:val="161616"/>
                <w:sz w:val="24"/>
                <w:szCs w:val="24"/>
              </w:rPr>
              <w:br/>
              <w:t xml:space="preserve">(2) </w:t>
            </w:r>
            <w:proofErr w:type="spellStart"/>
            <w:r>
              <w:rPr>
                <w:color w:val="161616"/>
                <w:sz w:val="24"/>
                <w:szCs w:val="24"/>
              </w:rPr>
              <w:t>Gastar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manera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razonable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sin </w:t>
            </w:r>
            <w:proofErr w:type="spellStart"/>
            <w:r w:rsidR="008600D7">
              <w:rPr>
                <w:color w:val="161616"/>
                <w:sz w:val="24"/>
                <w:szCs w:val="24"/>
              </w:rPr>
              <w:t>derrochar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ni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8600D7">
              <w:rPr>
                <w:color w:val="161616"/>
                <w:sz w:val="24"/>
                <w:szCs w:val="24"/>
              </w:rPr>
              <w:t>quedarse</w:t>
            </w:r>
            <w:proofErr w:type="spellEnd"/>
            <w:r w:rsidR="008600D7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8600D7">
              <w:rPr>
                <w:color w:val="161616"/>
                <w:sz w:val="24"/>
                <w:szCs w:val="24"/>
              </w:rPr>
              <w:t>corto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</w:p>
          <w:p w14:paraId="228FF821" w14:textId="77777777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(3) No </w:t>
            </w:r>
            <w:proofErr w:type="spellStart"/>
            <w:r>
              <w:rPr>
                <w:color w:val="161616"/>
                <w:sz w:val="24"/>
                <w:szCs w:val="24"/>
              </w:rPr>
              <w:t>dar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preferencia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a </w:t>
            </w:r>
            <w:proofErr w:type="spellStart"/>
            <w:r>
              <w:rPr>
                <w:color w:val="161616"/>
                <w:sz w:val="24"/>
                <w:szCs w:val="24"/>
              </w:rPr>
              <w:t>ninguno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ellos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sobre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otro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gastos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regalos.</w:t>
            </w:r>
          </w:p>
        </w:tc>
      </w:tr>
    </w:tbl>
    <w:p w14:paraId="04B9E950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tbl>
      <w:tblPr>
        <w:tblStyle w:val="a4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0122C5BF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6B3842BB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t>الحقُّ الخامس: حقّ الأقارب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6864E143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quinto derecho: El derecho de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los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familiares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</w:p>
        </w:tc>
      </w:tr>
      <w:tr w:rsidR="00C7757D" w14:paraId="2D872F79" w14:textId="77777777">
        <w:trPr>
          <w:jc w:val="center"/>
        </w:trPr>
        <w:tc>
          <w:tcPr>
            <w:tcW w:w="4672" w:type="dxa"/>
            <w:vAlign w:val="center"/>
          </w:tcPr>
          <w:p w14:paraId="2E08F446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أن يصل قريبه بالمعروف؛ ببذل الجاه، والنَّفع البدنيِّ، والنَّفع الماليِّ بحسب ما تتطلَّبه قوَّة القرابة والحاجة.</w:t>
            </w:r>
          </w:p>
        </w:tc>
        <w:tc>
          <w:tcPr>
            <w:tcW w:w="4393" w:type="dxa"/>
            <w:vAlign w:val="center"/>
          </w:tcPr>
          <w:p w14:paraId="288FEAA3" w14:textId="41F6F946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proofErr w:type="spellStart"/>
            <w:r>
              <w:rPr>
                <w:color w:val="161616"/>
                <w:sz w:val="24"/>
                <w:szCs w:val="24"/>
              </w:rPr>
              <w:t>Mantener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lazos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parentesco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con </w:t>
            </w:r>
            <w:proofErr w:type="spellStart"/>
            <w:r w:rsidR="008600D7">
              <w:rPr>
                <w:color w:val="161616"/>
                <w:sz w:val="24"/>
                <w:szCs w:val="24"/>
              </w:rPr>
              <w:t>el</w:t>
            </w:r>
            <w:proofErr w:type="spellEnd"/>
            <w:r w:rsidR="008600D7">
              <w:rPr>
                <w:color w:val="161616"/>
                <w:sz w:val="24"/>
                <w:szCs w:val="24"/>
              </w:rPr>
              <w:t xml:space="preserve"> bien</w:t>
            </w:r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mediante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uso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su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posición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social,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esfuerzos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físicos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 w:rsidR="00B31C91">
              <w:rPr>
                <w:color w:val="161616"/>
                <w:sz w:val="24"/>
                <w:szCs w:val="24"/>
              </w:rPr>
              <w:t>económicos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B31C91">
              <w:rPr>
                <w:color w:val="161616"/>
                <w:sz w:val="24"/>
                <w:szCs w:val="24"/>
              </w:rPr>
              <w:t>según</w:t>
            </w:r>
            <w:proofErr w:type="spellEnd"/>
            <w:r w:rsidR="00B31C91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B31C91">
              <w:rPr>
                <w:color w:val="161616"/>
                <w:sz w:val="24"/>
                <w:szCs w:val="24"/>
              </w:rPr>
              <w:t>exija</w:t>
            </w:r>
            <w:proofErr w:type="spellEnd"/>
            <w:r w:rsidR="00B31C91">
              <w:rPr>
                <w:color w:val="161616"/>
                <w:sz w:val="24"/>
                <w:szCs w:val="24"/>
              </w:rPr>
              <w:t xml:space="preserve"> la </w:t>
            </w:r>
            <w:proofErr w:type="spellStart"/>
            <w:r w:rsidR="00B31C91">
              <w:rPr>
                <w:color w:val="161616"/>
                <w:sz w:val="24"/>
                <w:szCs w:val="24"/>
              </w:rPr>
              <w:t>necesidad</w:t>
            </w:r>
            <w:proofErr w:type="spellEnd"/>
            <w:r w:rsidR="00B31C91"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 w:rsidR="00B31C91">
              <w:rPr>
                <w:color w:val="161616"/>
                <w:sz w:val="24"/>
                <w:szCs w:val="24"/>
              </w:rPr>
              <w:t>el</w:t>
            </w:r>
            <w:proofErr w:type="spellEnd"/>
            <w:r w:rsidR="00B31C91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B31C91">
              <w:rPr>
                <w:color w:val="161616"/>
                <w:sz w:val="24"/>
                <w:szCs w:val="24"/>
              </w:rPr>
              <w:t>grado</w:t>
            </w:r>
            <w:proofErr w:type="spellEnd"/>
            <w:r w:rsidR="00B31C91"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="00B31C91">
              <w:rPr>
                <w:color w:val="161616"/>
                <w:sz w:val="24"/>
                <w:szCs w:val="24"/>
              </w:rPr>
              <w:t>parentestco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.</w:t>
            </w:r>
            <w:proofErr w:type="gramEnd"/>
          </w:p>
          <w:p w14:paraId="34293FF3" w14:textId="77777777" w:rsidR="00C7757D" w:rsidRDefault="00C7757D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</w:p>
        </w:tc>
      </w:tr>
    </w:tbl>
    <w:p w14:paraId="3634FD27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tbl>
      <w:tblPr>
        <w:tblStyle w:val="a5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52378DC4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29E0883D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lastRenderedPageBreak/>
              <w:t>الحقُّ السَّادس: حقّ الزَّوجين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25D75DD5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Sexto derecho: El derecho de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los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Cónyuges</w:t>
            </w:r>
            <w:proofErr w:type="spellEnd"/>
          </w:p>
        </w:tc>
      </w:tr>
      <w:tr w:rsidR="00C7757D" w14:paraId="0F04128A" w14:textId="77777777">
        <w:trPr>
          <w:jc w:val="center"/>
        </w:trPr>
        <w:tc>
          <w:tcPr>
            <w:tcW w:w="4672" w:type="dxa"/>
            <w:vAlign w:val="center"/>
          </w:tcPr>
          <w:p w14:paraId="38468CCB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أَن يعاشر كلٌّ منهما الآخر بالمعروف، وأن يبذل الحقَّ الواجب له بكلِّ سماحةٍ وسهولةٍ، من غير تكرُّهٍ لبذله ولا مُماطلةٍ.</w:t>
            </w:r>
          </w:p>
          <w:p w14:paraId="05941381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من حقوق الزَّوجة على زوجها: أن يقوم بواجب نفقتها من الطَّعام والشَّراب والكسوة والمسكن وتوابع ذلك، وأن يعدل بين الزَّوجات.</w:t>
            </w:r>
          </w:p>
          <w:p w14:paraId="1CBCE17B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من حقوق الزَّوج على زوجته: أن تطيعه في غير معصية الله، وأن تحفظه في سرِّه وماله، وألَّا تعمل عملًا يضيِّع عليه كمال الاستمتاع.</w:t>
            </w:r>
          </w:p>
        </w:tc>
        <w:tc>
          <w:tcPr>
            <w:tcW w:w="4393" w:type="dxa"/>
            <w:vAlign w:val="center"/>
          </w:tcPr>
          <w:p w14:paraId="1522E635" w14:textId="7BCD6C30" w:rsidR="00C7757D" w:rsidRDefault="00CA3A5C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Que </w:t>
            </w:r>
            <w:proofErr w:type="spellStart"/>
            <w:r>
              <w:rPr>
                <w:color w:val="161616"/>
                <w:sz w:val="24"/>
                <w:szCs w:val="24"/>
              </w:rPr>
              <w:t>cada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uno [de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cónyugues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] </w:t>
            </w:r>
            <w:proofErr w:type="spellStart"/>
            <w:r>
              <w:rPr>
                <w:color w:val="161616"/>
                <w:sz w:val="24"/>
                <w:szCs w:val="24"/>
              </w:rPr>
              <w:t>trate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bien al</w:t>
            </w:r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otro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r>
              <w:rPr>
                <w:color w:val="161616"/>
                <w:sz w:val="24"/>
                <w:szCs w:val="24"/>
              </w:rPr>
              <w:t xml:space="preserve">y </w:t>
            </w:r>
            <w:proofErr w:type="spellStart"/>
            <w:r>
              <w:rPr>
                <w:color w:val="161616"/>
                <w:sz w:val="24"/>
                <w:szCs w:val="24"/>
              </w:rPr>
              <w:t>cumplir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con</w:t>
            </w:r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el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derecho que se le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debe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con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tolerancia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facilidad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r w:rsidR="005A5CDC">
              <w:rPr>
                <w:color w:val="161616"/>
                <w:sz w:val="24"/>
                <w:szCs w:val="24"/>
              </w:rPr>
              <w:t xml:space="preserve">sin </w:t>
            </w:r>
            <w:proofErr w:type="spellStart"/>
            <w:r w:rsidR="005A5CDC">
              <w:rPr>
                <w:color w:val="161616"/>
                <w:sz w:val="24"/>
                <w:szCs w:val="24"/>
              </w:rPr>
              <w:t>coacción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5A5CDC">
              <w:rPr>
                <w:color w:val="161616"/>
                <w:sz w:val="24"/>
                <w:szCs w:val="24"/>
              </w:rPr>
              <w:t>ni</w:t>
            </w:r>
            <w:proofErr w:type="spellEnd"/>
            <w:r w:rsidR="005A5CDC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5A5CDC">
              <w:rPr>
                <w:color w:val="161616"/>
                <w:sz w:val="24"/>
                <w:szCs w:val="24"/>
              </w:rPr>
              <w:t>atraso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en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5A5CDC">
              <w:rPr>
                <w:color w:val="161616"/>
                <w:sz w:val="24"/>
                <w:szCs w:val="24"/>
              </w:rPr>
              <w:t>ello</w:t>
            </w:r>
            <w:proofErr w:type="spellEnd"/>
            <w:r w:rsidR="005A5CDC">
              <w:rPr>
                <w:color w:val="161616"/>
                <w:sz w:val="24"/>
                <w:szCs w:val="24"/>
              </w:rPr>
              <w:t>.</w:t>
            </w:r>
          </w:p>
          <w:p w14:paraId="76E62D68" w14:textId="57AD3C4F" w:rsidR="00C7757D" w:rsidRDefault="005A5CDC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Forma </w:t>
            </w:r>
            <w:proofErr w:type="spellStart"/>
            <w:r>
              <w:rPr>
                <w:color w:val="161616"/>
                <w:sz w:val="24"/>
                <w:szCs w:val="24"/>
              </w:rPr>
              <w:t>parte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</w:t>
            </w:r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los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derechos de la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esposa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sobre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su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marido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: que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él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cumpla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con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el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deber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gastar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en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ella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en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términos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de comida,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bebida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ropa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vivienda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, etc., y que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trate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a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todas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sus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esposas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por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igual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>.</w:t>
            </w:r>
          </w:p>
          <w:p w14:paraId="7768EAC9" w14:textId="45224256" w:rsidR="00C7757D" w:rsidRDefault="005A5CDC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Forma </w:t>
            </w:r>
            <w:proofErr w:type="spellStart"/>
            <w:r>
              <w:rPr>
                <w:color w:val="161616"/>
                <w:sz w:val="24"/>
                <w:szCs w:val="24"/>
              </w:rPr>
              <w:t>parte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</w:t>
            </w:r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los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derechos del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marido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sobre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su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esposa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: que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ella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le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obedezca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en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lo que no </w:t>
            </w:r>
            <w:proofErr w:type="spellStart"/>
            <w:r>
              <w:rPr>
                <w:color w:val="161616"/>
                <w:sz w:val="24"/>
                <w:szCs w:val="24"/>
              </w:rPr>
              <w:t>implique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d</w:t>
            </w:r>
            <w:r>
              <w:rPr>
                <w:color w:val="161616"/>
                <w:sz w:val="24"/>
                <w:szCs w:val="24"/>
              </w:rPr>
              <w:t>esobedecer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161616"/>
                <w:sz w:val="24"/>
                <w:szCs w:val="24"/>
              </w:rPr>
              <w:t>a</w:t>
            </w:r>
            <w:proofErr w:type="gramEnd"/>
            <w:r w:rsidR="001E65BA">
              <w:rPr>
                <w:color w:val="161616"/>
                <w:sz w:val="24"/>
                <w:szCs w:val="24"/>
              </w:rPr>
              <w:t xml:space="preserve"> Allah, </w:t>
            </w:r>
            <w:r>
              <w:rPr>
                <w:color w:val="161616"/>
                <w:sz w:val="24"/>
                <w:szCs w:val="24"/>
              </w:rPr>
              <w:t xml:space="preserve">que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proteja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sus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secretos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riquezas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, y no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haga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algo que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estropee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su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completo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disfrute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>.</w:t>
            </w:r>
          </w:p>
        </w:tc>
      </w:tr>
    </w:tbl>
    <w:p w14:paraId="2A47F2CE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tbl>
      <w:tblPr>
        <w:tblStyle w:val="a6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72A8307A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253A84EE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t>الحقُّ السَّابع: حقّ الولاة والرَّعيَّة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510A6BDC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Séptimo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derecho:</w:t>
            </w:r>
          </w:p>
          <w:p w14:paraId="17D8C91E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El derecho de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los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gobernantes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y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los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súbditos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:  </w:t>
            </w:r>
          </w:p>
        </w:tc>
      </w:tr>
      <w:tr w:rsidR="00C7757D" w14:paraId="10DA4DF9" w14:textId="77777777">
        <w:trPr>
          <w:jc w:val="center"/>
        </w:trPr>
        <w:tc>
          <w:tcPr>
            <w:tcW w:w="4672" w:type="dxa"/>
            <w:vAlign w:val="center"/>
          </w:tcPr>
          <w:p w14:paraId="3958BB72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حقوق الرَّعية على الوُلاة: أن يقوموا بالأمانة الَّتي حمَّلهم الله إيَّاها، وألزمهم القيام بها؛ من النُّصح للرَّعيَّة، والسَّير بها على النَّهج القويم الكفيل بمصالح الدُّنيا والآخرة، وذلك باتِّباع سبيل المؤمنين.</w:t>
            </w:r>
          </w:p>
          <w:p w14:paraId="1C1BD976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 xml:space="preserve">حقوق الولاة على الرَّعيَّة فهي: النُّصح لهم فيما يتولَّاه الإنسان من أمورهم، وتذكيرهم إذا </w:t>
            </w: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غفلوا، والدُّعاء لهم إذا مالوا عن الحقِّ، وامتثال أمرهم في غير معصية الله، ومُساعدتهم.</w:t>
            </w:r>
          </w:p>
        </w:tc>
        <w:tc>
          <w:tcPr>
            <w:tcW w:w="4393" w:type="dxa"/>
            <w:vAlign w:val="center"/>
          </w:tcPr>
          <w:p w14:paraId="73723D8F" w14:textId="0CADC83A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lastRenderedPageBreak/>
              <w:t xml:space="preserve">Los derechos de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súbditos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sobre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gobernantes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: </w:t>
            </w:r>
            <w:proofErr w:type="spellStart"/>
            <w:r w:rsidR="00D960F9">
              <w:rPr>
                <w:color w:val="161616"/>
                <w:sz w:val="24"/>
                <w:szCs w:val="24"/>
              </w:rPr>
              <w:t>cumplir</w:t>
            </w:r>
            <w:proofErr w:type="spellEnd"/>
            <w:r w:rsidR="00D960F9">
              <w:rPr>
                <w:color w:val="161616"/>
                <w:sz w:val="24"/>
                <w:szCs w:val="24"/>
              </w:rPr>
              <w:t xml:space="preserve"> con la </w:t>
            </w:r>
            <w:proofErr w:type="spellStart"/>
            <w:r w:rsidR="00D960F9">
              <w:rPr>
                <w:color w:val="161616"/>
                <w:sz w:val="24"/>
                <w:szCs w:val="24"/>
              </w:rPr>
              <w:t>responsabilidad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que Allah les ha dado y </w:t>
            </w:r>
            <w:proofErr w:type="spellStart"/>
            <w:r>
              <w:rPr>
                <w:color w:val="161616"/>
                <w:sz w:val="24"/>
                <w:szCs w:val="24"/>
              </w:rPr>
              <w:t>obligado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r w:rsidR="00D960F9">
              <w:rPr>
                <w:color w:val="161616"/>
                <w:sz w:val="24"/>
                <w:szCs w:val="24"/>
              </w:rPr>
              <w:t xml:space="preserve">a </w:t>
            </w:r>
            <w:proofErr w:type="spellStart"/>
            <w:r w:rsidR="00D960F9">
              <w:rPr>
                <w:color w:val="161616"/>
                <w:sz w:val="24"/>
                <w:szCs w:val="24"/>
              </w:rPr>
              <w:t>realizar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como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aconsejar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a sus </w:t>
            </w:r>
            <w:proofErr w:type="spellStart"/>
            <w:r>
              <w:rPr>
                <w:color w:val="161616"/>
                <w:sz w:val="24"/>
                <w:szCs w:val="24"/>
              </w:rPr>
              <w:t>súbditos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llevarlos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por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camino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correcto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161616"/>
                <w:sz w:val="24"/>
                <w:szCs w:val="24"/>
              </w:rPr>
              <w:t>garantice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su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beneficio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este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mundo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más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allá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y </w:t>
            </w:r>
            <w:proofErr w:type="spellStart"/>
            <w:proofErr w:type="gramStart"/>
            <w:r>
              <w:rPr>
                <w:color w:val="161616"/>
                <w:sz w:val="24"/>
                <w:szCs w:val="24"/>
              </w:rPr>
              <w:t>eso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161616"/>
                <w:sz w:val="24"/>
                <w:szCs w:val="24"/>
              </w:rPr>
              <w:t>siguiendo</w:t>
            </w:r>
            <w:proofErr w:type="spellEnd"/>
            <w:proofErr w:type="gram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camino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creyentes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</w:p>
          <w:p w14:paraId="00B091E9" w14:textId="5526AE50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proofErr w:type="gramStart"/>
            <w:r>
              <w:rPr>
                <w:color w:val="161616"/>
                <w:sz w:val="24"/>
                <w:szCs w:val="24"/>
              </w:rPr>
              <w:t>Los</w:t>
            </w:r>
            <w:proofErr w:type="gramEnd"/>
            <w:r>
              <w:rPr>
                <w:color w:val="161616"/>
                <w:sz w:val="24"/>
                <w:szCs w:val="24"/>
              </w:rPr>
              <w:t xml:space="preserve"> derechos de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gobernantes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sobre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súbditos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son: </w:t>
            </w:r>
            <w:proofErr w:type="spellStart"/>
            <w:r w:rsidR="00886C3A">
              <w:rPr>
                <w:color w:val="161616"/>
                <w:sz w:val="24"/>
                <w:szCs w:val="24"/>
              </w:rPr>
              <w:t>aconsejarles</w:t>
            </w:r>
            <w:proofErr w:type="spellEnd"/>
            <w:r w:rsidR="00886C3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886C3A">
              <w:rPr>
                <w:color w:val="161616"/>
                <w:sz w:val="24"/>
                <w:szCs w:val="24"/>
              </w:rPr>
              <w:t>en</w:t>
            </w:r>
            <w:proofErr w:type="spellEnd"/>
            <w:r w:rsidR="00886C3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886C3A">
              <w:rPr>
                <w:color w:val="161616"/>
                <w:sz w:val="24"/>
                <w:szCs w:val="24"/>
              </w:rPr>
              <w:t>asuntos</w:t>
            </w:r>
            <w:proofErr w:type="spellEnd"/>
            <w:r w:rsidR="00886C3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886C3A">
              <w:rPr>
                <w:color w:val="161616"/>
                <w:sz w:val="24"/>
                <w:szCs w:val="24"/>
              </w:rPr>
              <w:t>suyos</w:t>
            </w:r>
            <w:proofErr w:type="spellEnd"/>
            <w:r w:rsidR="00886C3A">
              <w:rPr>
                <w:color w:val="161616"/>
                <w:sz w:val="24"/>
                <w:szCs w:val="24"/>
              </w:rPr>
              <w:t xml:space="preserve"> que uno dirige</w:t>
            </w:r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recordarles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si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se </w:t>
            </w:r>
            <w:proofErr w:type="spellStart"/>
            <w:r>
              <w:rPr>
                <w:color w:val="161616"/>
                <w:sz w:val="24"/>
                <w:szCs w:val="24"/>
              </w:rPr>
              <w:t>vuelven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negligentes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hacer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Du'a' (</w:t>
            </w:r>
            <w:proofErr w:type="spellStart"/>
            <w:r>
              <w:rPr>
                <w:color w:val="161616"/>
                <w:sz w:val="24"/>
                <w:szCs w:val="24"/>
              </w:rPr>
              <w:t>orar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161616"/>
                <w:sz w:val="24"/>
                <w:szCs w:val="24"/>
              </w:rPr>
              <w:t>por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si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se </w:t>
            </w:r>
            <w:proofErr w:type="spellStart"/>
            <w:r>
              <w:rPr>
                <w:color w:val="161616"/>
                <w:sz w:val="24"/>
                <w:szCs w:val="24"/>
              </w:rPr>
              <w:t>desvían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la </w:t>
            </w:r>
            <w:proofErr w:type="spellStart"/>
            <w:r>
              <w:rPr>
                <w:color w:val="161616"/>
                <w:sz w:val="24"/>
                <w:szCs w:val="24"/>
              </w:rPr>
              <w:t>verdad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obedecer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sus </w:t>
            </w:r>
            <w:proofErr w:type="spellStart"/>
            <w:r>
              <w:rPr>
                <w:color w:val="161616"/>
                <w:sz w:val="24"/>
                <w:szCs w:val="24"/>
              </w:rPr>
              <w:t>mandamientos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lo que no </w:t>
            </w:r>
            <w:proofErr w:type="spellStart"/>
            <w:r w:rsidR="00027F9B">
              <w:rPr>
                <w:color w:val="161616"/>
                <w:sz w:val="24"/>
                <w:szCs w:val="24"/>
              </w:rPr>
              <w:t>implica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desobediencia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a Allah, y </w:t>
            </w:r>
            <w:proofErr w:type="spellStart"/>
            <w:r>
              <w:rPr>
                <w:color w:val="161616"/>
                <w:sz w:val="24"/>
                <w:szCs w:val="24"/>
              </w:rPr>
              <w:t>ayudarlos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</w:p>
        </w:tc>
      </w:tr>
    </w:tbl>
    <w:p w14:paraId="21EDF106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tbl>
      <w:tblPr>
        <w:tblStyle w:val="a7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2D3D9236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40442E90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t>الحقُّ الثَّامن: حقّ الجيران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12BB0F10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octavo derecho: El derecho de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los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vecinos</w:t>
            </w:r>
            <w:proofErr w:type="spellEnd"/>
          </w:p>
        </w:tc>
      </w:tr>
      <w:tr w:rsidR="00C7757D" w14:paraId="07045778" w14:textId="77777777">
        <w:trPr>
          <w:jc w:val="center"/>
        </w:trPr>
        <w:tc>
          <w:tcPr>
            <w:tcW w:w="4672" w:type="dxa"/>
            <w:vAlign w:val="center"/>
          </w:tcPr>
          <w:p w14:paraId="2E1EDA57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الجار: هو القريب منك في المنزل، يُحسِن إليه بما استطاع من المال والجاه والنَّفع، ويكفُّ عنه الأذى القوليَّ والفعليَّ.</w:t>
            </w:r>
          </w:p>
          <w:p w14:paraId="70AB0256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(1) إن كان قريبًا منك في النَّسب وهو مسلمٌ؛ فله ثلاثة حقوقٍ: حقُّ الجوار، وحقُّ القرابة، وحقُّ الإسلام.</w:t>
            </w:r>
          </w:p>
          <w:p w14:paraId="6B858910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(2) إن كان مسلمًا وليس بقريبٍ في النَّسب؛ فله حقَّان: حقُّ الجوار، وحقُّ الإسلام.</w:t>
            </w:r>
          </w:p>
          <w:p w14:paraId="7CE81356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(3) وكذلك إن كان قريبًا وليس مسلمًا؛ فله حقَّان: حقُّ الجوار، وحقُّ القرابة.</w:t>
            </w:r>
          </w:p>
          <w:p w14:paraId="6E3AB310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(4) إن كان بعيدًا غير مسلمٍ فله حقٌّ واحدٌ: حقُّ الجوار.</w:t>
            </w:r>
          </w:p>
        </w:tc>
        <w:tc>
          <w:tcPr>
            <w:tcW w:w="4393" w:type="dxa"/>
            <w:vAlign w:val="center"/>
          </w:tcPr>
          <w:p w14:paraId="5CF47182" w14:textId="24200547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Un </w:t>
            </w:r>
            <w:proofErr w:type="spellStart"/>
            <w:r>
              <w:rPr>
                <w:color w:val="161616"/>
                <w:sz w:val="24"/>
                <w:szCs w:val="24"/>
              </w:rPr>
              <w:t>vecino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es </w:t>
            </w:r>
            <w:proofErr w:type="spellStart"/>
            <w:r>
              <w:rPr>
                <w:color w:val="161616"/>
                <w:sz w:val="24"/>
                <w:szCs w:val="24"/>
              </w:rPr>
              <w:t>alguien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161616"/>
                <w:sz w:val="24"/>
                <w:szCs w:val="24"/>
              </w:rPr>
              <w:t>vive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cerca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ti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. </w:t>
            </w:r>
            <w:r w:rsidR="005A4881">
              <w:rPr>
                <w:color w:val="161616"/>
                <w:sz w:val="24"/>
                <w:szCs w:val="24"/>
              </w:rPr>
              <w:t>Se d</w:t>
            </w:r>
            <w:r>
              <w:rPr>
                <w:color w:val="161616"/>
                <w:sz w:val="24"/>
                <w:szCs w:val="24"/>
              </w:rPr>
              <w:t xml:space="preserve">ebe ser bueno con </w:t>
            </w:r>
            <w:proofErr w:type="spellStart"/>
            <w:r>
              <w:rPr>
                <w:color w:val="161616"/>
                <w:sz w:val="24"/>
                <w:szCs w:val="24"/>
              </w:rPr>
              <w:t>él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con lo que </w:t>
            </w:r>
            <w:r w:rsidR="005A4881">
              <w:rPr>
                <w:color w:val="161616"/>
                <w:sz w:val="24"/>
                <w:szCs w:val="24"/>
              </w:rPr>
              <w:t xml:space="preserve">se </w:t>
            </w:r>
            <w:proofErr w:type="spellStart"/>
            <w:r>
              <w:rPr>
                <w:color w:val="161616"/>
                <w:sz w:val="24"/>
                <w:szCs w:val="24"/>
              </w:rPr>
              <w:t>pueda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5A4881">
              <w:rPr>
                <w:color w:val="161616"/>
                <w:sz w:val="24"/>
                <w:szCs w:val="24"/>
              </w:rPr>
              <w:t>mediante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dinero, la </w:t>
            </w:r>
            <w:proofErr w:type="spellStart"/>
            <w:r>
              <w:rPr>
                <w:color w:val="161616"/>
                <w:sz w:val="24"/>
                <w:szCs w:val="24"/>
              </w:rPr>
              <w:t>posición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social y </w:t>
            </w:r>
            <w:proofErr w:type="spellStart"/>
            <w:r w:rsidR="005A4881">
              <w:rPr>
                <w:color w:val="161616"/>
                <w:sz w:val="24"/>
                <w:szCs w:val="24"/>
              </w:rPr>
              <w:t>el</w:t>
            </w:r>
            <w:proofErr w:type="spellEnd"/>
            <w:r w:rsidR="005A4881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5A4881">
              <w:rPr>
                <w:color w:val="161616"/>
                <w:sz w:val="24"/>
                <w:szCs w:val="24"/>
              </w:rPr>
              <w:t>beneficio</w:t>
            </w:r>
            <w:proofErr w:type="spellEnd"/>
            <w:r w:rsidR="005A4881">
              <w:rPr>
                <w:color w:val="161616"/>
                <w:sz w:val="24"/>
                <w:szCs w:val="24"/>
              </w:rPr>
              <w:t xml:space="preserve"> [</w:t>
            </w:r>
            <w:proofErr w:type="spellStart"/>
            <w:r w:rsidR="005A4881">
              <w:rPr>
                <w:color w:val="161616"/>
                <w:sz w:val="24"/>
                <w:szCs w:val="24"/>
              </w:rPr>
              <w:t>en</w:t>
            </w:r>
            <w:proofErr w:type="spellEnd"/>
            <w:r w:rsidR="005A4881">
              <w:rPr>
                <w:color w:val="161616"/>
                <w:sz w:val="24"/>
                <w:szCs w:val="24"/>
              </w:rPr>
              <w:t xml:space="preserve"> general], y</w:t>
            </w:r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abstenerse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cualquier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daño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verbal o </w:t>
            </w:r>
            <w:proofErr w:type="spellStart"/>
            <w:r>
              <w:rPr>
                <w:color w:val="161616"/>
                <w:sz w:val="24"/>
                <w:szCs w:val="24"/>
              </w:rPr>
              <w:t>físico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</w:p>
          <w:p w14:paraId="28B37C71" w14:textId="6DEA2351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(1) Si es </w:t>
            </w:r>
            <w:proofErr w:type="spellStart"/>
            <w:r>
              <w:rPr>
                <w:color w:val="161616"/>
                <w:sz w:val="24"/>
                <w:szCs w:val="24"/>
              </w:rPr>
              <w:t>pariente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musulmán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tiene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tres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derechos: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derecho de la vecindad,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derecho de</w:t>
            </w:r>
            <w:r w:rsidR="00CD389C">
              <w:rPr>
                <w:color w:val="161616"/>
                <w:sz w:val="24"/>
                <w:szCs w:val="24"/>
              </w:rPr>
              <w:t>l</w:t>
            </w:r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parentesco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derecho del Islam.</w:t>
            </w:r>
          </w:p>
          <w:p w14:paraId="08B9CA54" w14:textId="77777777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(2) Si es </w:t>
            </w:r>
            <w:proofErr w:type="spellStart"/>
            <w:r>
              <w:rPr>
                <w:color w:val="161616"/>
                <w:sz w:val="24"/>
                <w:szCs w:val="24"/>
              </w:rPr>
              <w:t>musulmán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pero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no familiar, </w:t>
            </w:r>
            <w:proofErr w:type="spellStart"/>
            <w:r>
              <w:rPr>
                <w:color w:val="161616"/>
                <w:sz w:val="24"/>
                <w:szCs w:val="24"/>
              </w:rPr>
              <w:t>tiene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dos derechos: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derecho de la vecindad y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derecho del Islam. </w:t>
            </w:r>
          </w:p>
          <w:p w14:paraId="5A93B2BC" w14:textId="77777777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(3) </w:t>
            </w:r>
            <w:proofErr w:type="spellStart"/>
            <w:r>
              <w:rPr>
                <w:color w:val="161616"/>
                <w:sz w:val="24"/>
                <w:szCs w:val="24"/>
              </w:rPr>
              <w:t>Asimismo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si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es </w:t>
            </w:r>
            <w:proofErr w:type="spellStart"/>
            <w:r>
              <w:rPr>
                <w:color w:val="161616"/>
                <w:sz w:val="24"/>
                <w:szCs w:val="24"/>
              </w:rPr>
              <w:t>pariente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no es </w:t>
            </w:r>
            <w:proofErr w:type="spellStart"/>
            <w:r>
              <w:rPr>
                <w:color w:val="161616"/>
                <w:sz w:val="24"/>
                <w:szCs w:val="24"/>
              </w:rPr>
              <w:t>musulmán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tiene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dos derechos: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derecho de la vecindad y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derecho de </w:t>
            </w:r>
            <w:proofErr w:type="spellStart"/>
            <w:r>
              <w:rPr>
                <w:color w:val="161616"/>
                <w:sz w:val="24"/>
                <w:szCs w:val="24"/>
              </w:rPr>
              <w:t>parentesco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</w:p>
          <w:p w14:paraId="6F3CB54E" w14:textId="4A59D382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(4) Si no es familiar y no es </w:t>
            </w:r>
            <w:proofErr w:type="spellStart"/>
            <w:r>
              <w:rPr>
                <w:color w:val="161616"/>
                <w:sz w:val="24"/>
                <w:szCs w:val="24"/>
              </w:rPr>
              <w:t>musulmán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tiene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un derecho: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derecho de la vecindad.</w:t>
            </w:r>
          </w:p>
        </w:tc>
      </w:tr>
    </w:tbl>
    <w:p w14:paraId="4C9C39E2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tbl>
      <w:tblPr>
        <w:tblStyle w:val="a8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0B8B1228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20658226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t>الحقُّ التَّاسع: حقّ المسلمين عمومًا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713EA69F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noveno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derecho: El derecho de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los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Musulmanes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en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general</w:t>
            </w:r>
          </w:p>
        </w:tc>
      </w:tr>
      <w:tr w:rsidR="00C7757D" w14:paraId="37417932" w14:textId="77777777">
        <w:trPr>
          <w:jc w:val="center"/>
        </w:trPr>
        <w:tc>
          <w:tcPr>
            <w:tcW w:w="4672" w:type="dxa"/>
            <w:vAlign w:val="center"/>
          </w:tcPr>
          <w:p w14:paraId="71444DB0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 xml:space="preserve">منها السَّلام، وأن تجيبه إذا دعاك، وأن تنصحه إذا استنصحك، وأن تشمِّته إذا عطس فحمد الله، </w:t>
            </w: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lastRenderedPageBreak/>
              <w:t>وأن تعوده إذا مرض، وأن تتَّبعه إذا مات، وأن تكفَّ الأذى عنه.</w:t>
            </w:r>
          </w:p>
          <w:p w14:paraId="64654BE0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حقوق المسلم على المسلم كثيرةٌ، ويمكن أن يكون المعنى الجامع لها هو قوله ﷺ: «</w:t>
            </w:r>
            <w:r w:rsidRPr="00F762E1"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الْمُسْلِمُ أَخُو الْمُسْلِمِ</w:t>
            </w: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»؛ فإنَّه متى قام بمُقتضى هذه الأُخُوَّة اجتهد أن يتحرَّى له الخير كلَّه، وأن يجتنب كلَّ ما يضرُّه.</w:t>
            </w:r>
          </w:p>
        </w:tc>
        <w:tc>
          <w:tcPr>
            <w:tcW w:w="4393" w:type="dxa"/>
            <w:vAlign w:val="center"/>
          </w:tcPr>
          <w:p w14:paraId="1D1CC2CB" w14:textId="526BA7E6" w:rsidR="00C7757D" w:rsidRDefault="008E2239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lastRenderedPageBreak/>
              <w:t xml:space="preserve">Forma </w:t>
            </w:r>
            <w:proofErr w:type="spellStart"/>
            <w:r>
              <w:rPr>
                <w:color w:val="161616"/>
                <w:sz w:val="24"/>
                <w:szCs w:val="24"/>
              </w:rPr>
              <w:t>parte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ello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: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dar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Salam</w:t>
            </w:r>
            <w:r>
              <w:rPr>
                <w:color w:val="161616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161616"/>
                <w:sz w:val="24"/>
                <w:szCs w:val="24"/>
              </w:rPr>
              <w:t>saludar</w:t>
            </w:r>
            <w:proofErr w:type="spellEnd"/>
            <w:r>
              <w:rPr>
                <w:color w:val="161616"/>
                <w:sz w:val="24"/>
                <w:szCs w:val="24"/>
              </w:rPr>
              <w:t>)</w:t>
            </w:r>
            <w:r w:rsidR="001E65BA">
              <w:rPr>
                <w:color w:val="161616"/>
                <w:sz w:val="24"/>
                <w:szCs w:val="24"/>
              </w:rPr>
              <w:t xml:space="preserve">; </w:t>
            </w:r>
            <w:proofErr w:type="spellStart"/>
            <w:r>
              <w:rPr>
                <w:color w:val="161616"/>
                <w:sz w:val="24"/>
                <w:szCs w:val="24"/>
              </w:rPr>
              <w:t>aceptar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la </w:t>
            </w:r>
            <w:proofErr w:type="spellStart"/>
            <w:r>
              <w:rPr>
                <w:color w:val="161616"/>
                <w:sz w:val="24"/>
                <w:szCs w:val="24"/>
              </w:rPr>
              <w:t>invitación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si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te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invita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; </w:t>
            </w:r>
            <w:proofErr w:type="spellStart"/>
            <w:r>
              <w:rPr>
                <w:color w:val="161616"/>
                <w:sz w:val="24"/>
                <w:szCs w:val="24"/>
              </w:rPr>
              <w:t>aconsejarle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si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te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pide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consejo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; </w:t>
            </w:r>
            <w:proofErr w:type="spellStart"/>
            <w:r>
              <w:rPr>
                <w:color w:val="161616"/>
                <w:sz w:val="24"/>
                <w:szCs w:val="24"/>
              </w:rPr>
              <w:t>decirle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«</w:t>
            </w:r>
            <w:proofErr w:type="spellStart"/>
            <w:r w:rsidRPr="00F762E1">
              <w:rPr>
                <w:color w:val="161616"/>
                <w:sz w:val="24"/>
                <w:szCs w:val="24"/>
              </w:rPr>
              <w:t>yarhamuka</w:t>
            </w:r>
            <w:proofErr w:type="spellEnd"/>
            <w:r w:rsidRPr="00F762E1">
              <w:rPr>
                <w:color w:val="161616"/>
                <w:sz w:val="24"/>
                <w:szCs w:val="24"/>
              </w:rPr>
              <w:t xml:space="preserve"> Allah</w:t>
            </w:r>
            <w:r>
              <w:rPr>
                <w:color w:val="161616"/>
                <w:sz w:val="24"/>
                <w:szCs w:val="24"/>
              </w:rPr>
              <w:t xml:space="preserve">» (que Allah </w:t>
            </w:r>
            <w:proofErr w:type="spellStart"/>
            <w:r>
              <w:rPr>
                <w:color w:val="161616"/>
                <w:sz w:val="24"/>
                <w:szCs w:val="24"/>
              </w:rPr>
              <w:t>tenga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misericordia de </w:t>
            </w:r>
            <w:proofErr w:type="spellStart"/>
            <w:r>
              <w:rPr>
                <w:color w:val="161616"/>
                <w:sz w:val="24"/>
                <w:szCs w:val="24"/>
              </w:rPr>
              <w:t>ti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)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si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estornuda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y dice 'Alhamdulillah'; </w:t>
            </w:r>
            <w:proofErr w:type="spellStart"/>
            <w:r>
              <w:rPr>
                <w:color w:val="161616"/>
                <w:sz w:val="24"/>
                <w:szCs w:val="24"/>
              </w:rPr>
              <w:t>visitarlo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si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está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enfermo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; </w:t>
            </w:r>
            <w:proofErr w:type="spellStart"/>
            <w:r>
              <w:rPr>
                <w:color w:val="161616"/>
                <w:sz w:val="24"/>
                <w:szCs w:val="24"/>
              </w:rPr>
              <w:lastRenderedPageBreak/>
              <w:t>seguir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su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funeral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si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muere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;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evitar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causarle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ningún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daño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>.</w:t>
            </w:r>
          </w:p>
          <w:p w14:paraId="7369A73B" w14:textId="788B45AA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proofErr w:type="gramStart"/>
            <w:r>
              <w:rPr>
                <w:color w:val="161616"/>
                <w:sz w:val="24"/>
                <w:szCs w:val="24"/>
              </w:rPr>
              <w:t>Los</w:t>
            </w:r>
            <w:proofErr w:type="gramEnd"/>
            <w:r>
              <w:rPr>
                <w:color w:val="161616"/>
                <w:sz w:val="24"/>
                <w:szCs w:val="24"/>
              </w:rPr>
              <w:t xml:space="preserve"> derechos de</w:t>
            </w:r>
            <w:r w:rsidR="005C619B">
              <w:rPr>
                <w:color w:val="161616"/>
                <w:sz w:val="24"/>
                <w:szCs w:val="24"/>
              </w:rPr>
              <w:t>l</w:t>
            </w:r>
            <w:r>
              <w:rPr>
                <w:color w:val="161616"/>
                <w:sz w:val="24"/>
                <w:szCs w:val="24"/>
              </w:rPr>
              <w:t xml:space="preserve"> un </w:t>
            </w:r>
            <w:proofErr w:type="spellStart"/>
            <w:r>
              <w:rPr>
                <w:color w:val="161616"/>
                <w:sz w:val="24"/>
                <w:szCs w:val="24"/>
              </w:rPr>
              <w:t>musulmán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sobre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un </w:t>
            </w:r>
            <w:proofErr w:type="spellStart"/>
            <w:r>
              <w:rPr>
                <w:color w:val="161616"/>
                <w:sz w:val="24"/>
                <w:szCs w:val="24"/>
              </w:rPr>
              <w:t>musulmán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son </w:t>
            </w:r>
            <w:proofErr w:type="spellStart"/>
            <w:r>
              <w:rPr>
                <w:color w:val="161616"/>
                <w:sz w:val="24"/>
                <w:szCs w:val="24"/>
              </w:rPr>
              <w:t>muchos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y se </w:t>
            </w:r>
            <w:proofErr w:type="spellStart"/>
            <w:r>
              <w:rPr>
                <w:color w:val="161616"/>
                <w:sz w:val="24"/>
                <w:szCs w:val="24"/>
              </w:rPr>
              <w:t>pueden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resumir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dicho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r w:rsidR="005C619B">
              <w:rPr>
                <w:color w:val="161616"/>
                <w:sz w:val="24"/>
                <w:szCs w:val="24"/>
              </w:rPr>
              <w:t>d</w:t>
            </w:r>
            <w:r>
              <w:rPr>
                <w:color w:val="161616"/>
                <w:sz w:val="24"/>
                <w:szCs w:val="24"/>
              </w:rPr>
              <w:t xml:space="preserve">el </w:t>
            </w:r>
            <w:proofErr w:type="spellStart"/>
            <w:r w:rsidR="005C619B">
              <w:rPr>
                <w:color w:val="161616"/>
                <w:sz w:val="24"/>
                <w:szCs w:val="24"/>
              </w:rPr>
              <w:t>P</w:t>
            </w:r>
            <w:r>
              <w:rPr>
                <w:color w:val="161616"/>
                <w:sz w:val="24"/>
                <w:szCs w:val="24"/>
              </w:rPr>
              <w:t>rofeta</w:t>
            </w:r>
            <w:proofErr w:type="spellEnd"/>
            <w:r w:rsidR="005C619B">
              <w:rPr>
                <w:color w:val="161616"/>
                <w:sz w:val="24"/>
                <w:szCs w:val="24"/>
              </w:rPr>
              <w:t>,</w:t>
            </w:r>
            <w:r>
              <w:rPr>
                <w:color w:val="161616"/>
                <w:sz w:val="24"/>
                <w:szCs w:val="24"/>
              </w:rPr>
              <w:t xml:space="preserve"> la </w:t>
            </w:r>
            <w:proofErr w:type="spellStart"/>
            <w:r>
              <w:rPr>
                <w:color w:val="161616"/>
                <w:sz w:val="24"/>
                <w:szCs w:val="24"/>
              </w:rPr>
              <w:t>paz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las</w:t>
            </w:r>
            <w:r w:rsidR="005C619B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bendiciones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Allah </w:t>
            </w:r>
            <w:proofErr w:type="spellStart"/>
            <w:r>
              <w:rPr>
                <w:color w:val="161616"/>
                <w:sz w:val="24"/>
                <w:szCs w:val="24"/>
              </w:rPr>
              <w:t>sean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con </w:t>
            </w:r>
            <w:proofErr w:type="spellStart"/>
            <w:r>
              <w:rPr>
                <w:color w:val="161616"/>
                <w:sz w:val="24"/>
                <w:szCs w:val="24"/>
              </w:rPr>
              <w:t>él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: "El </w:t>
            </w:r>
            <w:proofErr w:type="spellStart"/>
            <w:r>
              <w:rPr>
                <w:color w:val="161616"/>
                <w:sz w:val="24"/>
                <w:szCs w:val="24"/>
              </w:rPr>
              <w:t>musulmán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es </w:t>
            </w:r>
            <w:proofErr w:type="spellStart"/>
            <w:r>
              <w:rPr>
                <w:color w:val="161616"/>
                <w:sz w:val="24"/>
                <w:szCs w:val="24"/>
              </w:rPr>
              <w:t>hermano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del </w:t>
            </w:r>
            <w:proofErr w:type="spellStart"/>
            <w:r>
              <w:rPr>
                <w:color w:val="161616"/>
                <w:sz w:val="24"/>
                <w:szCs w:val="24"/>
              </w:rPr>
              <w:t>musulmán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". </w:t>
            </w:r>
            <w:proofErr w:type="spellStart"/>
            <w:r>
              <w:rPr>
                <w:color w:val="161616"/>
                <w:sz w:val="24"/>
                <w:szCs w:val="24"/>
              </w:rPr>
              <w:t>Cumplir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con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requisitos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esta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hermandad </w:t>
            </w:r>
            <w:proofErr w:type="spellStart"/>
            <w:r>
              <w:rPr>
                <w:color w:val="161616"/>
                <w:sz w:val="24"/>
                <w:szCs w:val="24"/>
              </w:rPr>
              <w:t>hará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que </w:t>
            </w:r>
            <w:proofErr w:type="spellStart"/>
            <w:r>
              <w:rPr>
                <w:color w:val="161616"/>
                <w:sz w:val="24"/>
                <w:szCs w:val="24"/>
              </w:rPr>
              <w:t>una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persona se </w:t>
            </w:r>
            <w:proofErr w:type="spellStart"/>
            <w:r>
              <w:rPr>
                <w:color w:val="161616"/>
                <w:sz w:val="24"/>
                <w:szCs w:val="24"/>
              </w:rPr>
              <w:t>esfuerce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por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buscar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toda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la </w:t>
            </w:r>
            <w:proofErr w:type="spellStart"/>
            <w:r>
              <w:rPr>
                <w:color w:val="161616"/>
                <w:sz w:val="24"/>
                <w:szCs w:val="24"/>
              </w:rPr>
              <w:t>bondad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para </w:t>
            </w:r>
            <w:proofErr w:type="spellStart"/>
            <w:r>
              <w:rPr>
                <w:color w:val="161616"/>
                <w:sz w:val="24"/>
                <w:szCs w:val="24"/>
              </w:rPr>
              <w:t>su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hermano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musulmán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>
              <w:rPr>
                <w:color w:val="161616"/>
                <w:sz w:val="24"/>
                <w:szCs w:val="24"/>
              </w:rPr>
              <w:t>evitar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cualquier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cosa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que le </w:t>
            </w:r>
            <w:proofErr w:type="spellStart"/>
            <w:r>
              <w:rPr>
                <w:color w:val="161616"/>
                <w:sz w:val="24"/>
                <w:szCs w:val="24"/>
              </w:rPr>
              <w:t>perjudique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</w:p>
        </w:tc>
      </w:tr>
    </w:tbl>
    <w:p w14:paraId="65D34941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tbl>
      <w:tblPr>
        <w:tblStyle w:val="a9"/>
        <w:bidiVisual/>
        <w:tblW w:w="9065" w:type="dxa"/>
        <w:jc w:val="center"/>
        <w:tblInd w:w="0" w:type="dxa"/>
        <w:tblBorders>
          <w:insideV w:val="single" w:sz="2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672"/>
        <w:gridCol w:w="4393"/>
      </w:tblGrid>
      <w:tr w:rsidR="00C7757D" w14:paraId="330A62F0" w14:textId="77777777">
        <w:trPr>
          <w:jc w:val="center"/>
        </w:trPr>
        <w:tc>
          <w:tcPr>
            <w:tcW w:w="4672" w:type="dxa"/>
            <w:shd w:val="clear" w:color="auto" w:fill="ECF1F9"/>
            <w:vAlign w:val="center"/>
          </w:tcPr>
          <w:p w14:paraId="75AE3780" w14:textId="77777777" w:rsidR="00C7757D" w:rsidRPr="00F762E1" w:rsidRDefault="001E65BA">
            <w:pPr>
              <w:pStyle w:val="Heading2"/>
              <w:spacing w:before="0"/>
              <w:jc w:val="center"/>
              <w:rPr>
                <w:rFonts w:cs="Generator 2005"/>
                <w:b w:val="0"/>
                <w:color w:val="2F5496"/>
                <w:sz w:val="32"/>
                <w:szCs w:val="32"/>
              </w:rPr>
            </w:pPr>
            <w:r w:rsidRPr="00F762E1">
              <w:rPr>
                <w:rFonts w:cs="Generator 2005"/>
                <w:b w:val="0"/>
                <w:color w:val="2F5496"/>
                <w:sz w:val="32"/>
                <w:szCs w:val="32"/>
                <w:rtl/>
              </w:rPr>
              <w:t>الحقُّ العاشر: حقّ غير المسلمين</w:t>
            </w:r>
          </w:p>
        </w:tc>
        <w:tc>
          <w:tcPr>
            <w:tcW w:w="4393" w:type="dxa"/>
            <w:shd w:val="clear" w:color="auto" w:fill="ECF1F9"/>
            <w:vAlign w:val="center"/>
          </w:tcPr>
          <w:p w14:paraId="37941120" w14:textId="77777777" w:rsidR="00C7757D" w:rsidRDefault="00C7757D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bookmarkStart w:id="2" w:name="_1fob9te" w:colFirst="0" w:colLast="0"/>
            <w:bookmarkEnd w:id="2"/>
          </w:p>
          <w:p w14:paraId="4661DA8E" w14:textId="77777777" w:rsidR="00C7757D" w:rsidRDefault="001E65BA">
            <w:pPr>
              <w:spacing w:after="0" w:line="240" w:lineRule="auto"/>
              <w:jc w:val="center"/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</w:pPr>
            <w:bookmarkStart w:id="3" w:name="_484q4dn0v0l4" w:colFirst="0" w:colLast="0"/>
            <w:bookmarkEnd w:id="3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El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décimo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derecho: El derecho de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los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no </w:t>
            </w:r>
            <w:proofErr w:type="spellStart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>musulmanes</w:t>
            </w:r>
            <w:proofErr w:type="spellEnd"/>
            <w:r>
              <w:rPr>
                <w:rFonts w:ascii="Andalus" w:eastAsia="Andalus" w:hAnsi="Andalus" w:cs="Andalus"/>
                <w:b/>
                <w:color w:val="2F5496"/>
                <w:sz w:val="32"/>
                <w:szCs w:val="32"/>
              </w:rPr>
              <w:t xml:space="preserve"> </w:t>
            </w:r>
          </w:p>
        </w:tc>
      </w:tr>
      <w:tr w:rsidR="00C7757D" w14:paraId="1EF556B3" w14:textId="77777777">
        <w:trPr>
          <w:jc w:val="center"/>
        </w:trPr>
        <w:tc>
          <w:tcPr>
            <w:tcW w:w="4672" w:type="dxa"/>
            <w:vAlign w:val="center"/>
          </w:tcPr>
          <w:p w14:paraId="30825380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يجب على وليِّ أمر المسلمين أن يحكُم فيهم بحكم الإسلام في النَّفس والمال والعِرض، وأن يُقيم الحدود عليهم فيما يعتقدون تحريمه، ويجب عليه حمايتهم وكفُّ الأذى عنهم.</w:t>
            </w:r>
          </w:p>
          <w:p w14:paraId="12CA25D4" w14:textId="77777777" w:rsidR="00C7757D" w:rsidRDefault="001E65BA" w:rsidP="00F762E1">
            <w:pPr>
              <w:spacing w:after="120" w:line="600" w:lineRule="exact"/>
              <w:jc w:val="both"/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</w:rPr>
            </w:pPr>
            <w:r>
              <w:rPr>
                <w:rFonts w:ascii="Lotus Linotype" w:eastAsia="Lotus Linotype" w:hAnsi="Lotus Linotype" w:cs="Lotus Linotype"/>
                <w:color w:val="161616"/>
                <w:sz w:val="32"/>
                <w:szCs w:val="32"/>
                <w:rtl/>
              </w:rPr>
              <w:t>ويجب أن يتميَّزوا عن المسلمين في اللِّباس، وألَّا يُظهروا شيئًا مُنكَرًا في الإسلام، أو شيئًا من شعائر دينهم؛ كالنَّاقوس، والصَّليب.</w:t>
            </w:r>
          </w:p>
        </w:tc>
        <w:tc>
          <w:tcPr>
            <w:tcW w:w="4393" w:type="dxa"/>
            <w:vAlign w:val="center"/>
          </w:tcPr>
          <w:p w14:paraId="0D616E7B" w14:textId="225309C1" w:rsidR="003F0B09" w:rsidRDefault="00182D7C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proofErr w:type="gramStart"/>
            <w:r>
              <w:rPr>
                <w:color w:val="161616"/>
                <w:sz w:val="24"/>
                <w:szCs w:val="24"/>
              </w:rPr>
              <w:t xml:space="preserve">El </w:t>
            </w:r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gobernante</w:t>
            </w:r>
            <w:proofErr w:type="spellEnd"/>
            <w:proofErr w:type="gram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musulmán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debe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gobernarlos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con la ley del Islam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en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sus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vidas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 w:rsidR="001E65BA">
              <w:rPr>
                <w:color w:val="161616"/>
                <w:sz w:val="24"/>
                <w:szCs w:val="24"/>
              </w:rPr>
              <w:t>riqueza</w:t>
            </w:r>
            <w:proofErr w:type="spellEnd"/>
            <w:r w:rsidR="001E65BA">
              <w:rPr>
                <w:color w:val="161616"/>
                <w:sz w:val="24"/>
                <w:szCs w:val="24"/>
              </w:rPr>
              <w:t xml:space="preserve"> y honor,</w:t>
            </w:r>
            <w:r w:rsidR="003F0B09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3F0B09">
              <w:rPr>
                <w:color w:val="161616"/>
                <w:sz w:val="24"/>
                <w:szCs w:val="24"/>
              </w:rPr>
              <w:t>aplicar</w:t>
            </w:r>
            <w:proofErr w:type="spellEnd"/>
            <w:r w:rsidR="003F0B09">
              <w:rPr>
                <w:color w:val="161616"/>
                <w:sz w:val="24"/>
                <w:szCs w:val="24"/>
              </w:rPr>
              <w:t xml:space="preserve"> las </w:t>
            </w:r>
            <w:proofErr w:type="spellStart"/>
            <w:r w:rsidR="003F0B09">
              <w:rPr>
                <w:color w:val="161616"/>
                <w:sz w:val="24"/>
                <w:szCs w:val="24"/>
              </w:rPr>
              <w:t>penas</w:t>
            </w:r>
            <w:proofErr w:type="spellEnd"/>
            <w:r w:rsidR="001D1698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D1698">
              <w:rPr>
                <w:color w:val="161616"/>
                <w:sz w:val="24"/>
                <w:szCs w:val="24"/>
              </w:rPr>
              <w:t>en</w:t>
            </w:r>
            <w:proofErr w:type="spellEnd"/>
            <w:r w:rsidR="001D1698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1D1698">
              <w:rPr>
                <w:color w:val="161616"/>
                <w:sz w:val="24"/>
                <w:szCs w:val="24"/>
              </w:rPr>
              <w:t>aquello</w:t>
            </w:r>
            <w:proofErr w:type="spellEnd"/>
            <w:r w:rsidR="001D1698">
              <w:rPr>
                <w:color w:val="161616"/>
                <w:sz w:val="24"/>
                <w:szCs w:val="24"/>
              </w:rPr>
              <w:t xml:space="preserve"> que </w:t>
            </w:r>
            <w:proofErr w:type="spellStart"/>
            <w:r w:rsidR="004351F3">
              <w:rPr>
                <w:color w:val="161616"/>
                <w:sz w:val="24"/>
                <w:szCs w:val="24"/>
              </w:rPr>
              <w:t>creen</w:t>
            </w:r>
            <w:proofErr w:type="spellEnd"/>
            <w:r w:rsidR="004351F3">
              <w:rPr>
                <w:color w:val="161616"/>
                <w:sz w:val="24"/>
                <w:szCs w:val="24"/>
              </w:rPr>
              <w:t xml:space="preserve"> que </w:t>
            </w:r>
            <w:proofErr w:type="spellStart"/>
            <w:r w:rsidR="004351F3">
              <w:rPr>
                <w:color w:val="161616"/>
                <w:sz w:val="24"/>
                <w:szCs w:val="24"/>
              </w:rPr>
              <w:t>está</w:t>
            </w:r>
            <w:proofErr w:type="spellEnd"/>
            <w:r w:rsidR="004351F3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4351F3">
              <w:rPr>
                <w:color w:val="161616"/>
                <w:sz w:val="24"/>
                <w:szCs w:val="24"/>
              </w:rPr>
              <w:t>prohibido</w:t>
            </w:r>
            <w:proofErr w:type="spellEnd"/>
            <w:r w:rsidR="004351F3">
              <w:rPr>
                <w:color w:val="161616"/>
                <w:sz w:val="24"/>
                <w:szCs w:val="24"/>
              </w:rPr>
              <w:t xml:space="preserve">. </w:t>
            </w:r>
            <w:proofErr w:type="spellStart"/>
            <w:r w:rsidR="004351F3">
              <w:rPr>
                <w:color w:val="161616"/>
                <w:sz w:val="24"/>
                <w:szCs w:val="24"/>
              </w:rPr>
              <w:t>Asimismo</w:t>
            </w:r>
            <w:proofErr w:type="spellEnd"/>
            <w:r w:rsidR="004351F3"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 w:rsidR="004351F3">
              <w:rPr>
                <w:color w:val="161616"/>
                <w:sz w:val="24"/>
                <w:szCs w:val="24"/>
              </w:rPr>
              <w:t>debe</w:t>
            </w:r>
            <w:proofErr w:type="spellEnd"/>
            <w:r w:rsidR="004351F3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4351F3">
              <w:rPr>
                <w:color w:val="161616"/>
                <w:sz w:val="24"/>
                <w:szCs w:val="24"/>
              </w:rPr>
              <w:t>protegerlos</w:t>
            </w:r>
            <w:proofErr w:type="spellEnd"/>
            <w:r w:rsidR="00441BC6">
              <w:rPr>
                <w:color w:val="161616"/>
                <w:sz w:val="24"/>
                <w:szCs w:val="24"/>
              </w:rPr>
              <w:t xml:space="preserve"> y </w:t>
            </w:r>
            <w:proofErr w:type="spellStart"/>
            <w:r w:rsidR="00441BC6">
              <w:rPr>
                <w:color w:val="161616"/>
                <w:sz w:val="24"/>
                <w:szCs w:val="24"/>
              </w:rPr>
              <w:t>apartar</w:t>
            </w:r>
            <w:proofErr w:type="spellEnd"/>
            <w:r w:rsidR="00441BC6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441BC6">
              <w:rPr>
                <w:color w:val="161616"/>
                <w:sz w:val="24"/>
                <w:szCs w:val="24"/>
              </w:rPr>
              <w:t>el</w:t>
            </w:r>
            <w:proofErr w:type="spellEnd"/>
            <w:r w:rsidR="00441BC6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441BC6">
              <w:rPr>
                <w:color w:val="161616"/>
                <w:sz w:val="24"/>
                <w:szCs w:val="24"/>
              </w:rPr>
              <w:t>daño</w:t>
            </w:r>
            <w:proofErr w:type="spellEnd"/>
            <w:r w:rsidR="00441BC6"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 w:rsidR="00441BC6">
              <w:rPr>
                <w:color w:val="161616"/>
                <w:sz w:val="24"/>
                <w:szCs w:val="24"/>
              </w:rPr>
              <w:t>ellos</w:t>
            </w:r>
            <w:proofErr w:type="spellEnd"/>
            <w:r w:rsidR="00441BC6">
              <w:rPr>
                <w:color w:val="161616"/>
                <w:sz w:val="24"/>
                <w:szCs w:val="24"/>
              </w:rPr>
              <w:t>.</w:t>
            </w:r>
            <w:r w:rsidR="001E65BA">
              <w:rPr>
                <w:color w:val="161616"/>
                <w:sz w:val="24"/>
                <w:szCs w:val="24"/>
              </w:rPr>
              <w:t xml:space="preserve"> </w:t>
            </w:r>
          </w:p>
          <w:p w14:paraId="1560375D" w14:textId="77777777" w:rsidR="003F0B09" w:rsidRDefault="003F0B09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</w:p>
          <w:p w14:paraId="2B816B12" w14:textId="28FA9A3C" w:rsidR="00C7757D" w:rsidRDefault="001E65BA" w:rsidP="00F762E1">
            <w:pPr>
              <w:bidi w:val="0"/>
              <w:jc w:val="both"/>
              <w:rPr>
                <w:color w:val="161616"/>
                <w:sz w:val="24"/>
                <w:szCs w:val="24"/>
              </w:rPr>
            </w:pPr>
            <w:r>
              <w:rPr>
                <w:color w:val="161616"/>
                <w:sz w:val="24"/>
                <w:szCs w:val="24"/>
              </w:rPr>
              <w:t xml:space="preserve">Los </w:t>
            </w:r>
            <w:proofErr w:type="spellStart"/>
            <w:r>
              <w:rPr>
                <w:color w:val="161616"/>
                <w:sz w:val="24"/>
                <w:szCs w:val="24"/>
              </w:rPr>
              <w:t>incrédulos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deben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distinguirse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musulmanes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en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r w:rsidR="00441BC6">
              <w:rPr>
                <w:color w:val="161616"/>
                <w:sz w:val="24"/>
                <w:szCs w:val="24"/>
              </w:rPr>
              <w:t>la</w:t>
            </w:r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vestimenta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161616"/>
                <w:sz w:val="24"/>
                <w:szCs w:val="24"/>
              </w:rPr>
              <w:t>Además</w:t>
            </w:r>
            <w:proofErr w:type="spellEnd"/>
            <w:r w:rsidR="00441BC6">
              <w:rPr>
                <w:color w:val="161616"/>
                <w:sz w:val="24"/>
                <w:szCs w:val="24"/>
              </w:rPr>
              <w:t xml:space="preserve"> de</w:t>
            </w:r>
            <w:r>
              <w:rPr>
                <w:color w:val="161616"/>
                <w:sz w:val="24"/>
                <w:szCs w:val="24"/>
              </w:rPr>
              <w:t xml:space="preserve"> no </w:t>
            </w:r>
            <w:proofErr w:type="spellStart"/>
            <w:r>
              <w:rPr>
                <w:color w:val="161616"/>
                <w:sz w:val="24"/>
                <w:szCs w:val="24"/>
              </w:rPr>
              <w:t>mostrar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nada </w:t>
            </w:r>
            <w:proofErr w:type="spellStart"/>
            <w:r w:rsidR="00A473FB">
              <w:rPr>
                <w:color w:val="161616"/>
                <w:sz w:val="24"/>
                <w:szCs w:val="24"/>
              </w:rPr>
              <w:t>reprobable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A473FB">
              <w:rPr>
                <w:color w:val="161616"/>
                <w:sz w:val="24"/>
                <w:szCs w:val="24"/>
              </w:rPr>
              <w:t>en</w:t>
            </w:r>
            <w:proofErr w:type="spellEnd"/>
            <w:r w:rsidR="00A473FB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A473FB">
              <w:rPr>
                <w:color w:val="161616"/>
                <w:sz w:val="24"/>
                <w:szCs w:val="24"/>
              </w:rPr>
              <w:t>e</w:t>
            </w:r>
            <w:r>
              <w:rPr>
                <w:color w:val="161616"/>
                <w:sz w:val="24"/>
                <w:szCs w:val="24"/>
              </w:rPr>
              <w:t>l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Islam o </w:t>
            </w:r>
            <w:r w:rsidR="00441BC6">
              <w:rPr>
                <w:color w:val="161616"/>
                <w:sz w:val="24"/>
                <w:szCs w:val="24"/>
              </w:rPr>
              <w:t xml:space="preserve">algo que </w:t>
            </w:r>
            <w:proofErr w:type="spellStart"/>
            <w:r w:rsidR="00441BC6">
              <w:rPr>
                <w:color w:val="161616"/>
                <w:sz w:val="24"/>
                <w:szCs w:val="24"/>
              </w:rPr>
              <w:t>forme</w:t>
            </w:r>
            <w:proofErr w:type="spellEnd"/>
            <w:r w:rsidR="00441BC6"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441BC6">
              <w:rPr>
                <w:color w:val="161616"/>
                <w:sz w:val="24"/>
                <w:szCs w:val="24"/>
              </w:rPr>
              <w:t>parte</w:t>
            </w:r>
            <w:proofErr w:type="spellEnd"/>
            <w:r w:rsidR="00441BC6"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 w:rsidR="00441BC6">
              <w:rPr>
                <w:color w:val="161616"/>
                <w:sz w:val="24"/>
                <w:szCs w:val="24"/>
              </w:rPr>
              <w:t>los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 w:rsidR="00441BC6">
              <w:rPr>
                <w:color w:val="161616"/>
                <w:sz w:val="24"/>
                <w:szCs w:val="24"/>
              </w:rPr>
              <w:t>rito</w:t>
            </w:r>
            <w:r>
              <w:rPr>
                <w:color w:val="161616"/>
                <w:sz w:val="24"/>
                <w:szCs w:val="24"/>
              </w:rPr>
              <w:t>s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161616"/>
                <w:sz w:val="24"/>
                <w:szCs w:val="24"/>
              </w:rPr>
              <w:t>su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61616"/>
                <w:sz w:val="24"/>
                <w:szCs w:val="24"/>
              </w:rPr>
              <w:t>religión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161616"/>
                <w:sz w:val="24"/>
                <w:szCs w:val="24"/>
              </w:rPr>
              <w:t>como</w:t>
            </w:r>
            <w:proofErr w:type="spellEnd"/>
            <w:r>
              <w:rPr>
                <w:color w:val="161616"/>
                <w:sz w:val="24"/>
                <w:szCs w:val="24"/>
              </w:rPr>
              <w:t xml:space="preserve"> la campana o la </w:t>
            </w:r>
            <w:proofErr w:type="spellStart"/>
            <w:r>
              <w:rPr>
                <w:color w:val="161616"/>
                <w:sz w:val="24"/>
                <w:szCs w:val="24"/>
              </w:rPr>
              <w:t>cruz</w:t>
            </w:r>
            <w:proofErr w:type="spellEnd"/>
            <w:r>
              <w:rPr>
                <w:color w:val="161616"/>
                <w:sz w:val="24"/>
                <w:szCs w:val="24"/>
              </w:rPr>
              <w:t>.</w:t>
            </w:r>
          </w:p>
        </w:tc>
      </w:tr>
    </w:tbl>
    <w:p w14:paraId="450BDD9B" w14:textId="77777777" w:rsidR="00C7757D" w:rsidRDefault="001E65BA">
      <w:pPr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  <w:r>
        <w:rPr>
          <w:rFonts w:ascii="Amiri" w:eastAsia="Amiri" w:hAnsi="Amiri" w:cs="Amiri"/>
          <w:color w:val="161616"/>
          <w:sz w:val="33"/>
          <w:szCs w:val="33"/>
        </w:rPr>
        <w:t>alsarhaan.com</w:t>
      </w:r>
    </w:p>
    <w:p w14:paraId="73414F35" w14:textId="77777777" w:rsidR="00C7757D" w:rsidRDefault="00C7757D">
      <w:pPr>
        <w:spacing w:after="0" w:line="240" w:lineRule="auto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p w14:paraId="2B88A488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p w14:paraId="341CCE0C" w14:textId="77777777" w:rsidR="00C7757D" w:rsidRDefault="00C7757D">
      <w:pPr>
        <w:spacing w:after="0" w:line="240" w:lineRule="auto"/>
        <w:jc w:val="center"/>
        <w:rPr>
          <w:rFonts w:ascii="Lotus Linotype" w:eastAsia="Lotus Linotype" w:hAnsi="Lotus Linotype" w:cs="Lotus Linotype"/>
          <w:color w:val="161616"/>
          <w:sz w:val="12"/>
          <w:szCs w:val="12"/>
        </w:rPr>
      </w:pPr>
    </w:p>
    <w:p w14:paraId="501977A1" w14:textId="77777777" w:rsidR="00C7757D" w:rsidRDefault="001E65BA">
      <w:pPr>
        <w:jc w:val="center"/>
        <w:rPr>
          <w:rFonts w:ascii="Lotus Linotype" w:eastAsia="Lotus Linotype" w:hAnsi="Lotus Linotype" w:cs="Lotus Linotype"/>
          <w:color w:val="161616"/>
          <w:sz w:val="32"/>
          <w:szCs w:val="32"/>
        </w:rPr>
      </w:pPr>
      <w:r>
        <w:rPr>
          <w:rFonts w:ascii="Amiri" w:eastAsia="Amiri" w:hAnsi="Amiri" w:cs="Amiri"/>
          <w:noProof/>
          <w:color w:val="161616"/>
          <w:sz w:val="33"/>
          <w:szCs w:val="33"/>
        </w:rPr>
        <w:drawing>
          <wp:inline distT="0" distB="0" distL="0" distR="0" wp14:anchorId="597852CC" wp14:editId="780D39B1">
            <wp:extent cx="2539052" cy="54304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9052" cy="5430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7757D">
      <w:headerReference w:type="default" r:id="rId9"/>
      <w:type w:val="continuous"/>
      <w:pgSz w:w="11906" w:h="16838"/>
      <w:pgMar w:top="1418" w:right="1133" w:bottom="1418" w:left="1134" w:header="426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B40E" w14:textId="77777777" w:rsidR="009A4987" w:rsidRDefault="009A4987">
      <w:pPr>
        <w:spacing w:after="0" w:line="240" w:lineRule="auto"/>
      </w:pPr>
      <w:r>
        <w:separator/>
      </w:r>
    </w:p>
  </w:endnote>
  <w:endnote w:type="continuationSeparator" w:id="0">
    <w:p w14:paraId="29351341" w14:textId="77777777" w:rsidR="009A4987" w:rsidRDefault="009A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 Linotype">
    <w:altName w:val="Calibri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ecoType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miri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32775" w14:textId="77777777" w:rsidR="009A4987" w:rsidRDefault="009A4987">
      <w:pPr>
        <w:spacing w:after="0" w:line="240" w:lineRule="auto"/>
      </w:pPr>
      <w:r>
        <w:separator/>
      </w:r>
    </w:p>
  </w:footnote>
  <w:footnote w:type="continuationSeparator" w:id="0">
    <w:p w14:paraId="6D9459D9" w14:textId="77777777" w:rsidR="009A4987" w:rsidRDefault="009A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D320" w14:textId="77777777" w:rsidR="00C7757D" w:rsidRDefault="001E65BA">
    <w:pPr>
      <w:pBdr>
        <w:top w:val="nil"/>
        <w:left w:val="nil"/>
        <w:bottom w:val="single" w:sz="4" w:space="1" w:color="2F5496"/>
        <w:right w:val="nil"/>
        <w:between w:val="nil"/>
      </w:pBdr>
      <w:tabs>
        <w:tab w:val="center" w:pos="4153"/>
        <w:tab w:val="right" w:pos="8306"/>
        <w:tab w:val="right" w:pos="9639"/>
      </w:tabs>
      <w:spacing w:after="0" w:line="240" w:lineRule="auto"/>
      <w:jc w:val="both"/>
      <w:rPr>
        <w:b/>
        <w:color w:val="2F5496"/>
        <w:sz w:val="28"/>
        <w:szCs w:val="28"/>
      </w:rPr>
    </w:pPr>
    <w:r>
      <w:rPr>
        <w:b/>
        <w:color w:val="2F5496"/>
        <w:sz w:val="28"/>
        <w:szCs w:val="28"/>
        <w:rtl/>
      </w:rPr>
      <w:t>مُلخَّص رسالة «حقوقٌ دعت إليها الفطرة وقرَّرتها الشَّريعة»</w:t>
    </w:r>
    <w:r>
      <w:rPr>
        <w:b/>
        <w:color w:val="2F5496"/>
        <w:sz w:val="28"/>
        <w:szCs w:val="28"/>
        <w:rtl/>
      </w:rPr>
      <w:tab/>
      <w:t xml:space="preserve">     بعناية الشَّيخ: هيثم بن محمَّد سرحان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7D"/>
    <w:rsid w:val="00027F9B"/>
    <w:rsid w:val="000E3649"/>
    <w:rsid w:val="00162F5F"/>
    <w:rsid w:val="00182D7C"/>
    <w:rsid w:val="001D1698"/>
    <w:rsid w:val="001E65BA"/>
    <w:rsid w:val="003F0B09"/>
    <w:rsid w:val="004351F3"/>
    <w:rsid w:val="00441BC6"/>
    <w:rsid w:val="005A4881"/>
    <w:rsid w:val="005A5CDC"/>
    <w:rsid w:val="005C619B"/>
    <w:rsid w:val="00704D33"/>
    <w:rsid w:val="008600D7"/>
    <w:rsid w:val="00886C3A"/>
    <w:rsid w:val="008E2239"/>
    <w:rsid w:val="00915C67"/>
    <w:rsid w:val="009A4987"/>
    <w:rsid w:val="00A473FB"/>
    <w:rsid w:val="00B31C91"/>
    <w:rsid w:val="00C23E58"/>
    <w:rsid w:val="00C7757D"/>
    <w:rsid w:val="00CA3A5C"/>
    <w:rsid w:val="00CD389C"/>
    <w:rsid w:val="00D960F9"/>
    <w:rsid w:val="00DE3096"/>
    <w:rsid w:val="00DF6409"/>
    <w:rsid w:val="00E97B1E"/>
    <w:rsid w:val="00F7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96C80"/>
  <w15:docId w15:val="{C6F45079-4DBC-4862-ACEE-A74C843C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b/>
      <w:color w:val="2F5496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Samir Jilali Mokhtar Bendoukha</cp:lastModifiedBy>
  <cp:revision>21</cp:revision>
  <dcterms:created xsi:type="dcterms:W3CDTF">2022-02-23T19:52:00Z</dcterms:created>
  <dcterms:modified xsi:type="dcterms:W3CDTF">2022-03-06T17:25:00Z</dcterms:modified>
</cp:coreProperties>
</file>