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DBA8" w14:textId="7BCCE098" w:rsidR="00882D9E" w:rsidRDefault="00882D9E" w:rsidP="00882D9E">
      <w:pPr>
        <w:rPr>
          <w:b/>
          <w:bCs/>
          <w:sz w:val="40"/>
          <w:szCs w:val="40"/>
        </w:rPr>
      </w:pPr>
    </w:p>
    <w:p w14:paraId="7DD115CF" w14:textId="593EAA4C" w:rsidR="00882D9E" w:rsidRDefault="00882D9E" w:rsidP="00882D9E">
      <w:pPr>
        <w:rPr>
          <w:b/>
          <w:bCs/>
          <w:sz w:val="40"/>
          <w:szCs w:val="40"/>
        </w:rPr>
      </w:pPr>
    </w:p>
    <w:p w14:paraId="54180870" w14:textId="77777777" w:rsidR="00882D9E" w:rsidRDefault="00882D9E" w:rsidP="00882D9E">
      <w:pPr>
        <w:rPr>
          <w:b/>
          <w:bCs/>
          <w:sz w:val="40"/>
          <w:szCs w:val="40"/>
        </w:rPr>
      </w:pPr>
    </w:p>
    <w:p w14:paraId="540060E6" w14:textId="77777777" w:rsidR="00882D9E" w:rsidRDefault="00882D9E" w:rsidP="00882D9E">
      <w:pPr>
        <w:rPr>
          <w:b/>
          <w:bCs/>
          <w:sz w:val="40"/>
          <w:szCs w:val="40"/>
        </w:rPr>
      </w:pPr>
    </w:p>
    <w:p w14:paraId="25D9CA30" w14:textId="1B12A80D" w:rsidR="00882D9E" w:rsidRPr="00882D9E" w:rsidRDefault="00882D9E" w:rsidP="00882D9E">
      <w:pPr>
        <w:jc w:val="center"/>
        <w:rPr>
          <w:b/>
          <w:bCs/>
          <w:color w:val="0070C0"/>
          <w:sz w:val="46"/>
          <w:szCs w:val="46"/>
        </w:rPr>
      </w:pPr>
      <w:r w:rsidRPr="00882D9E">
        <w:rPr>
          <w:b/>
          <w:bCs/>
          <w:color w:val="0070C0"/>
          <w:sz w:val="46"/>
          <w:szCs w:val="46"/>
        </w:rPr>
        <w:t>AL-QAWĀ'ID AL-ARBA'</w:t>
      </w:r>
    </w:p>
    <w:p w14:paraId="58964049" w14:textId="35C5A92E" w:rsidR="00882D9E" w:rsidRPr="00882D9E" w:rsidRDefault="00882D9E" w:rsidP="00882D9E">
      <w:pPr>
        <w:jc w:val="center"/>
        <w:rPr>
          <w:b/>
          <w:bCs/>
          <w:color w:val="0070C0"/>
          <w:sz w:val="32"/>
          <w:szCs w:val="32"/>
        </w:rPr>
      </w:pPr>
      <w:r w:rsidRPr="00882D9E">
        <w:rPr>
          <w:b/>
          <w:bCs/>
          <w:color w:val="0070C0"/>
          <w:sz w:val="32"/>
          <w:szCs w:val="32"/>
        </w:rPr>
        <w:t>(</w:t>
      </w:r>
      <w:proofErr w:type="spellStart"/>
      <w:r w:rsidRPr="00882D9E">
        <w:rPr>
          <w:b/>
          <w:bCs/>
          <w:color w:val="0070C0"/>
          <w:sz w:val="32"/>
          <w:szCs w:val="32"/>
        </w:rPr>
        <w:t>Empat</w:t>
      </w:r>
      <w:proofErr w:type="spellEnd"/>
      <w:r w:rsidRPr="00882D9E">
        <w:rPr>
          <w:b/>
          <w:bCs/>
          <w:color w:val="0070C0"/>
          <w:sz w:val="32"/>
          <w:szCs w:val="32"/>
        </w:rPr>
        <w:t xml:space="preserve"> </w:t>
      </w:r>
      <w:proofErr w:type="spellStart"/>
      <w:r w:rsidRPr="00882D9E">
        <w:rPr>
          <w:b/>
          <w:bCs/>
          <w:color w:val="0070C0"/>
          <w:sz w:val="32"/>
          <w:szCs w:val="32"/>
        </w:rPr>
        <w:t>Kaidah</w:t>
      </w:r>
      <w:proofErr w:type="spellEnd"/>
      <w:r w:rsidRPr="00882D9E">
        <w:rPr>
          <w:b/>
          <w:bCs/>
          <w:color w:val="0070C0"/>
          <w:sz w:val="32"/>
          <w:szCs w:val="32"/>
        </w:rPr>
        <w:t xml:space="preserve"> </w:t>
      </w:r>
      <w:proofErr w:type="spellStart"/>
      <w:r w:rsidRPr="00882D9E">
        <w:rPr>
          <w:b/>
          <w:bCs/>
          <w:color w:val="0070C0"/>
          <w:sz w:val="32"/>
          <w:szCs w:val="32"/>
        </w:rPr>
        <w:t>Penting</w:t>
      </w:r>
      <w:proofErr w:type="spellEnd"/>
      <w:r w:rsidRPr="00882D9E">
        <w:rPr>
          <w:b/>
          <w:bCs/>
          <w:color w:val="0070C0"/>
          <w:sz w:val="32"/>
          <w:szCs w:val="32"/>
        </w:rPr>
        <w:t xml:space="preserve"> </w:t>
      </w:r>
      <w:proofErr w:type="spellStart"/>
      <w:r w:rsidRPr="00882D9E">
        <w:rPr>
          <w:b/>
          <w:bCs/>
          <w:color w:val="0070C0"/>
          <w:sz w:val="32"/>
          <w:szCs w:val="32"/>
        </w:rPr>
        <w:t>dalam</w:t>
      </w:r>
      <w:proofErr w:type="spellEnd"/>
      <w:r w:rsidRPr="00882D9E">
        <w:rPr>
          <w:b/>
          <w:bCs/>
          <w:color w:val="0070C0"/>
          <w:sz w:val="32"/>
          <w:szCs w:val="32"/>
        </w:rPr>
        <w:t xml:space="preserve"> </w:t>
      </w:r>
      <w:proofErr w:type="spellStart"/>
      <w:r w:rsidRPr="00882D9E">
        <w:rPr>
          <w:b/>
          <w:bCs/>
          <w:color w:val="0070C0"/>
          <w:sz w:val="32"/>
          <w:szCs w:val="32"/>
        </w:rPr>
        <w:t>Akidah</w:t>
      </w:r>
      <w:proofErr w:type="spellEnd"/>
      <w:r w:rsidRPr="00882D9E">
        <w:rPr>
          <w:b/>
          <w:bCs/>
          <w:color w:val="0070C0"/>
          <w:sz w:val="32"/>
          <w:szCs w:val="32"/>
        </w:rPr>
        <w:t>)</w:t>
      </w:r>
    </w:p>
    <w:p w14:paraId="453152A2" w14:textId="7AF814DC" w:rsidR="00882D9E" w:rsidRDefault="00882D9E" w:rsidP="00882D9E">
      <w:pPr>
        <w:pStyle w:val="rand44837"/>
      </w:pPr>
    </w:p>
    <w:p w14:paraId="1A45433F" w14:textId="6E317D29" w:rsidR="00882D9E" w:rsidRDefault="00882D9E" w:rsidP="00882D9E">
      <w:pPr>
        <w:pStyle w:val="rand44837"/>
      </w:pPr>
    </w:p>
    <w:p w14:paraId="7B9B6D5A" w14:textId="77777777" w:rsidR="00882D9E" w:rsidRDefault="00882D9E" w:rsidP="00882D9E">
      <w:pPr>
        <w:pStyle w:val="rand44837"/>
      </w:pPr>
    </w:p>
    <w:p w14:paraId="65795C0A" w14:textId="77777777" w:rsidR="00882D9E" w:rsidRDefault="00882D9E" w:rsidP="00882D9E">
      <w:pPr>
        <w:pStyle w:val="rand44837"/>
      </w:pPr>
    </w:p>
    <w:p w14:paraId="41ACE85E" w14:textId="103BE97F" w:rsidR="00882D9E" w:rsidRPr="00F20800" w:rsidRDefault="00882D9E" w:rsidP="00882D9E">
      <w:pPr>
        <w:pStyle w:val="rand44837"/>
        <w:rPr>
          <w:color w:val="0070C0"/>
          <w:sz w:val="28"/>
          <w:szCs w:val="28"/>
        </w:rPr>
      </w:pPr>
      <w:proofErr w:type="spellStart"/>
      <w:r w:rsidRPr="00F20800">
        <w:rPr>
          <w:color w:val="0070C0"/>
          <w:sz w:val="28"/>
          <w:szCs w:val="28"/>
        </w:rPr>
        <w:t>Karya</w:t>
      </w:r>
      <w:proofErr w:type="spellEnd"/>
    </w:p>
    <w:p w14:paraId="37CDB999" w14:textId="77777777" w:rsidR="00882D9E" w:rsidRPr="00F20800" w:rsidRDefault="00882D9E" w:rsidP="00882D9E">
      <w:pPr>
        <w:pStyle w:val="rand44837"/>
        <w:rPr>
          <w:color w:val="0070C0"/>
          <w:sz w:val="28"/>
          <w:szCs w:val="28"/>
        </w:rPr>
      </w:pPr>
      <w:r w:rsidRPr="00F20800">
        <w:rPr>
          <w:color w:val="0070C0"/>
          <w:sz w:val="28"/>
          <w:szCs w:val="28"/>
        </w:rPr>
        <w:t xml:space="preserve"> </w:t>
      </w:r>
      <w:proofErr w:type="spellStart"/>
      <w:r w:rsidRPr="00F20800">
        <w:rPr>
          <w:color w:val="0070C0"/>
          <w:sz w:val="28"/>
          <w:szCs w:val="28"/>
        </w:rPr>
        <w:t>Syekh</w:t>
      </w:r>
      <w:proofErr w:type="spellEnd"/>
      <w:r w:rsidRPr="00F20800">
        <w:rPr>
          <w:color w:val="0070C0"/>
          <w:sz w:val="28"/>
          <w:szCs w:val="28"/>
        </w:rPr>
        <w:t xml:space="preserve"> Muhammad </w:t>
      </w:r>
      <w:r w:rsidRPr="00F20800">
        <w:rPr>
          <w:color w:val="0070C0"/>
          <w:sz w:val="28"/>
          <w:szCs w:val="28"/>
        </w:rPr>
        <w:t>At-Tamimi</w:t>
      </w:r>
      <w:r w:rsidRPr="00F20800">
        <w:rPr>
          <w:color w:val="0070C0"/>
          <w:sz w:val="28"/>
          <w:szCs w:val="28"/>
        </w:rPr>
        <w:t xml:space="preserve"> </w:t>
      </w:r>
    </w:p>
    <w:p w14:paraId="172D03EB" w14:textId="00400738" w:rsidR="00882D9E" w:rsidRPr="00F20800" w:rsidRDefault="00882D9E" w:rsidP="00882D9E">
      <w:pPr>
        <w:pStyle w:val="rand44837"/>
        <w:rPr>
          <w:i/>
          <w:iCs/>
          <w:color w:val="0070C0"/>
          <w:sz w:val="28"/>
          <w:szCs w:val="28"/>
        </w:rPr>
      </w:pPr>
      <w:proofErr w:type="spellStart"/>
      <w:r w:rsidRPr="00F20800">
        <w:rPr>
          <w:i/>
          <w:iCs/>
          <w:color w:val="0070C0"/>
          <w:sz w:val="28"/>
          <w:szCs w:val="28"/>
        </w:rPr>
        <w:t>raḥimahullāh</w:t>
      </w:r>
      <w:proofErr w:type="spellEnd"/>
    </w:p>
    <w:p w14:paraId="626A9837" w14:textId="3D4E18BE" w:rsidR="00882D9E" w:rsidRDefault="00882D9E" w:rsidP="00882D9E">
      <w:r>
        <w:br/>
      </w:r>
    </w:p>
    <w:p w14:paraId="7817FA3A" w14:textId="4AE76EAB" w:rsidR="00882D9E" w:rsidRDefault="00882D9E">
      <w:r>
        <w:br w:type="page"/>
      </w:r>
    </w:p>
    <w:p w14:paraId="2B8D69AB" w14:textId="77777777" w:rsidR="00882D9E" w:rsidRDefault="00882D9E" w:rsidP="00882D9E"/>
    <w:p w14:paraId="14937D41" w14:textId="7938DB23" w:rsidR="00882D9E" w:rsidRDefault="00882D9E">
      <w:pPr>
        <w:rPr>
          <w:b/>
          <w:bCs/>
          <w:color w:val="333333"/>
          <w:sz w:val="40"/>
          <w:szCs w:val="40"/>
        </w:rPr>
      </w:pPr>
      <w:bookmarkStart w:id="0" w:name="_Toc72048972"/>
      <w:bookmarkStart w:id="1" w:name="_Toc72049773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3BB438" wp14:editId="54716814">
            <wp:simplePos x="0" y="0"/>
            <wp:positionH relativeFrom="margin">
              <wp:posOffset>51435</wp:posOffset>
            </wp:positionH>
            <wp:positionV relativeFrom="margin">
              <wp:posOffset>3004185</wp:posOffset>
            </wp:positionV>
            <wp:extent cx="3983990" cy="285051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99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>
        <w:br w:type="page"/>
      </w:r>
    </w:p>
    <w:p w14:paraId="682EE23D" w14:textId="3FE5ACF6" w:rsidR="00F20800" w:rsidRDefault="00F20800" w:rsidP="00F20800">
      <w:pPr>
        <w:pStyle w:val="Heading1"/>
        <w:jc w:val="center"/>
      </w:pPr>
      <w:bookmarkStart w:id="2" w:name="_Toc94649163"/>
      <w:r>
        <w:lastRenderedPageBreak/>
        <w:t>MATAN AL-QAWĀ'ID AL-ARBA'</w:t>
      </w:r>
      <w:bookmarkEnd w:id="2"/>
      <w:r>
        <w:t xml:space="preserve"> </w:t>
      </w:r>
    </w:p>
    <w:p w14:paraId="5CD3424B" w14:textId="1DB29C9D" w:rsidR="00071F83" w:rsidRPr="00F20800" w:rsidRDefault="00A2003B" w:rsidP="00F20800">
      <w:pPr>
        <w:pStyle w:val="Heading1"/>
        <w:jc w:val="center"/>
        <w:rPr>
          <w:sz w:val="36"/>
          <w:szCs w:val="36"/>
        </w:rPr>
      </w:pPr>
      <w:bookmarkStart w:id="3" w:name="_Toc94649164"/>
      <w:r w:rsidRPr="00F20800">
        <w:rPr>
          <w:sz w:val="32"/>
          <w:szCs w:val="32"/>
        </w:rPr>
        <w:t>(</w:t>
      </w:r>
      <w:proofErr w:type="spellStart"/>
      <w:r w:rsidRPr="00F20800">
        <w:rPr>
          <w:sz w:val="32"/>
          <w:szCs w:val="32"/>
        </w:rPr>
        <w:t>Empat</w:t>
      </w:r>
      <w:proofErr w:type="spellEnd"/>
      <w:r w:rsidRPr="00F20800">
        <w:rPr>
          <w:sz w:val="32"/>
          <w:szCs w:val="32"/>
        </w:rPr>
        <w:t xml:space="preserve"> </w:t>
      </w:r>
      <w:proofErr w:type="spellStart"/>
      <w:r w:rsidRPr="00F20800">
        <w:rPr>
          <w:sz w:val="32"/>
          <w:szCs w:val="32"/>
        </w:rPr>
        <w:t>Kaidah</w:t>
      </w:r>
      <w:proofErr w:type="spellEnd"/>
      <w:r w:rsidRPr="00F20800">
        <w:rPr>
          <w:sz w:val="32"/>
          <w:szCs w:val="32"/>
        </w:rPr>
        <w:t xml:space="preserve"> </w:t>
      </w:r>
      <w:proofErr w:type="spellStart"/>
      <w:r w:rsidRPr="00F20800">
        <w:rPr>
          <w:sz w:val="32"/>
          <w:szCs w:val="32"/>
        </w:rPr>
        <w:t>Penting</w:t>
      </w:r>
      <w:proofErr w:type="spellEnd"/>
      <w:r w:rsidRPr="00F20800">
        <w:rPr>
          <w:sz w:val="32"/>
          <w:szCs w:val="32"/>
        </w:rPr>
        <w:t xml:space="preserve"> </w:t>
      </w:r>
      <w:proofErr w:type="spellStart"/>
      <w:r w:rsidRPr="00F20800">
        <w:rPr>
          <w:sz w:val="32"/>
          <w:szCs w:val="32"/>
        </w:rPr>
        <w:t>dalam</w:t>
      </w:r>
      <w:proofErr w:type="spellEnd"/>
      <w:r w:rsidRPr="00F20800">
        <w:rPr>
          <w:sz w:val="32"/>
          <w:szCs w:val="32"/>
        </w:rPr>
        <w:t xml:space="preserve"> </w:t>
      </w:r>
      <w:proofErr w:type="spellStart"/>
      <w:r w:rsidRPr="00F20800">
        <w:rPr>
          <w:sz w:val="32"/>
          <w:szCs w:val="32"/>
        </w:rPr>
        <w:t>Akidah</w:t>
      </w:r>
      <w:proofErr w:type="spellEnd"/>
      <w:r w:rsidRPr="00F20800">
        <w:rPr>
          <w:sz w:val="32"/>
          <w:szCs w:val="32"/>
        </w:rPr>
        <w:t>)</w:t>
      </w:r>
      <w:bookmarkEnd w:id="3"/>
    </w:p>
    <w:p w14:paraId="2FA32205" w14:textId="5F1F4844" w:rsidR="00071F83" w:rsidRPr="00F20800" w:rsidRDefault="00A2003B">
      <w:pPr>
        <w:pStyle w:val="rand44837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Al-'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Allāmah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Muhammad </w:t>
      </w:r>
      <w:r w:rsidR="00F20800" w:rsidRPr="00F20800">
        <w:rPr>
          <w:rFonts w:asciiTheme="majorBidi" w:hAnsiTheme="majorBidi" w:cstheme="majorBidi"/>
          <w:sz w:val="24"/>
          <w:szCs w:val="24"/>
        </w:rPr>
        <w:t>At-Tamimi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0800" w:rsidRPr="00F20800">
        <w:rPr>
          <w:rFonts w:asciiTheme="majorBidi" w:hAnsiTheme="majorBidi" w:cstheme="majorBidi"/>
          <w:i/>
          <w:iCs/>
          <w:sz w:val="24"/>
          <w:szCs w:val="24"/>
        </w:rPr>
        <w:t>raḥimahullāh</w:t>
      </w:r>
      <w:proofErr w:type="spellEnd"/>
    </w:p>
    <w:p w14:paraId="684FC850" w14:textId="77777777" w:rsidR="00F20800" w:rsidRDefault="00F20800">
      <w:pPr>
        <w:pStyle w:val="rand81575"/>
        <w:rPr>
          <w:rFonts w:asciiTheme="majorBidi" w:hAnsiTheme="majorBidi" w:cstheme="majorBidi"/>
          <w:sz w:val="24"/>
          <w:szCs w:val="24"/>
        </w:rPr>
      </w:pPr>
    </w:p>
    <w:p w14:paraId="205CED70" w14:textId="49A55F8F" w:rsidR="00071F83" w:rsidRPr="00F20800" w:rsidRDefault="00A2003B">
      <w:pPr>
        <w:pStyle w:val="rand81575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Pengasih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Penyayang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.</w:t>
      </w:r>
    </w:p>
    <w:p w14:paraId="30368EDB" w14:textId="0753307F" w:rsidR="00071F83" w:rsidRPr="00F20800" w:rsidRDefault="00A2003B" w:rsidP="00F20800">
      <w:pPr>
        <w:pStyle w:val="rand45365"/>
        <w:ind w:firstLine="426"/>
        <w:rPr>
          <w:rFonts w:asciiTheme="majorBidi" w:hAnsiTheme="majorBidi" w:cstheme="majorBidi"/>
          <w:sz w:val="24"/>
          <w:szCs w:val="24"/>
        </w:rPr>
      </w:pPr>
      <w:r w:rsidRPr="00F20800">
        <w:rPr>
          <w:rFonts w:asciiTheme="majorBidi" w:hAnsiTheme="majorBidi" w:cstheme="majorBidi"/>
          <w:sz w:val="24"/>
          <w:szCs w:val="24"/>
        </w:rPr>
        <w:t xml:space="preserve">Saya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Mahamulia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Tuhan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agung agar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membimbingmu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di dunia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akhirat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,</w:t>
      </w:r>
      <w:r w:rsid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menjadikanmu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hamba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diberkahi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di mana pun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menjadikanmu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hamba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bersyukur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nikmat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bersabar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ditimpa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meminta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ampun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kunci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kebahagiaan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.</w:t>
      </w:r>
    </w:p>
    <w:p w14:paraId="1C2DCBC7" w14:textId="77777777" w:rsidR="00FB7AB7" w:rsidRDefault="00A2003B" w:rsidP="00F20800">
      <w:pPr>
        <w:pStyle w:val="rand40029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Saudaraku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membimbingmu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-Nya!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Ketahuilah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agama Islam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agama Nabi Ibrahim </w:t>
      </w:r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alaihis-salām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semata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memurnikan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-Nya;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berfirman</w:t>
      </w:r>
      <w:proofErr w:type="spellEnd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"Aku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menciptakan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jin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manusia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melainkan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agar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beribadah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-Ku."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Aż-Żāriyāt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56). </w:t>
      </w:r>
    </w:p>
    <w:p w14:paraId="310DD5A0" w14:textId="77777777" w:rsidR="00FB7AB7" w:rsidRDefault="00A2003B" w:rsidP="00F20800">
      <w:pPr>
        <w:pStyle w:val="rand40029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menciptakanmu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-Nya,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ketahuilah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tauhid,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salat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salat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taharah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kesucian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). </w:t>
      </w:r>
    </w:p>
    <w:p w14:paraId="38133D0D" w14:textId="23EF5EA0" w:rsidR="00071F83" w:rsidRPr="00F20800" w:rsidRDefault="00A2003B" w:rsidP="00F20800">
      <w:pPr>
        <w:pStyle w:val="rand40029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kesyirikan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rusak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hadas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pada </w:t>
      </w:r>
      <w:r w:rsidRPr="00F20800">
        <w:rPr>
          <w:rFonts w:asciiTheme="majorBidi" w:hAnsiTheme="majorBidi" w:cstheme="majorBidi"/>
          <w:sz w:val="24"/>
          <w:szCs w:val="24"/>
        </w:rPr>
        <w:lastRenderedPageBreak/>
        <w:t xml:space="preserve">taharah.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kesyirikan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bercampur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merusak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membatalkannya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pelakunya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kekal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neraka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terpenting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atasmu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menyelamatkanmu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perangkap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kesyirikan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diterangkan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oleh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-Nya: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"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Sesungguhnya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mengampuni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dosa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syirik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Dia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mengampuni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segala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dosa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selain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syirik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itu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bagi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saja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dikehendaki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-Nya."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An-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Nisā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`: 116). Hal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kaidah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Kitab-Nya.</w:t>
      </w:r>
    </w:p>
    <w:p w14:paraId="5519FF3A" w14:textId="77777777" w:rsidR="00071F83" w:rsidRPr="00FB7AB7" w:rsidRDefault="00A2003B">
      <w:pPr>
        <w:pStyle w:val="Heading2"/>
        <w:rPr>
          <w:rFonts w:asciiTheme="majorBidi" w:hAnsiTheme="majorBidi" w:cstheme="majorBidi"/>
          <w:color w:val="C00000"/>
          <w:sz w:val="24"/>
          <w:szCs w:val="24"/>
        </w:rPr>
      </w:pPr>
      <w:bookmarkStart w:id="4" w:name="_Toc94649165"/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t>Kaidah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t>Pertama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>:</w:t>
      </w:r>
      <w:bookmarkEnd w:id="4"/>
    </w:p>
    <w:p w14:paraId="20CC082B" w14:textId="77777777" w:rsidR="00FB7AB7" w:rsidRDefault="00A2003B" w:rsidP="00F20800">
      <w:pPr>
        <w:pStyle w:val="rand53241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orang-orang kafir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diperangi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oleh Rasulullah </w:t>
      </w:r>
      <w:r w:rsidR="00FB7AB7" w:rsidRPr="00FB7AB7">
        <w:rPr>
          <w:rFonts w:asciiTheme="majorBidi" w:hAnsiTheme="majorBidi" w:cstheme="majorBidi"/>
          <w:sz w:val="24"/>
          <w:szCs w:val="24"/>
          <w:rtl/>
        </w:rPr>
        <w:t>ﷺ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mengakui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pencipta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pengatur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semesta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Islam. </w:t>
      </w:r>
    </w:p>
    <w:p w14:paraId="6161364D" w14:textId="4BEFEFB0" w:rsidR="00071F83" w:rsidRDefault="00A2003B" w:rsidP="00F20800">
      <w:pPr>
        <w:pStyle w:val="rand53241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"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Katakanlah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(Muhammad), '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Siapakah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rezeki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kepadamu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langit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bumi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atau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siapakah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kuasa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menciptakan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pendengaran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penglihatan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siapakah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mengeluarkan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hidup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mati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mengeluarkan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mati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hidup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siapakah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mengatur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segala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urusan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?'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menjawab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'Allah.'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katakanlah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, '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Mengapa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kamu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bertakwa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-Nya)?'"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Yūnus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31).</w:t>
      </w:r>
    </w:p>
    <w:p w14:paraId="4ECB1924" w14:textId="60904AA0" w:rsidR="00FB7AB7" w:rsidRDefault="00FB7AB7" w:rsidP="00F20800">
      <w:pPr>
        <w:pStyle w:val="rand53241"/>
        <w:ind w:firstLine="426"/>
        <w:rPr>
          <w:rFonts w:asciiTheme="majorBidi" w:hAnsiTheme="majorBidi" w:cstheme="majorBidi"/>
          <w:sz w:val="24"/>
          <w:szCs w:val="24"/>
        </w:rPr>
      </w:pPr>
    </w:p>
    <w:p w14:paraId="1A8BC015" w14:textId="77777777" w:rsidR="00FB7AB7" w:rsidRPr="00F20800" w:rsidRDefault="00FB7AB7" w:rsidP="00F20800">
      <w:pPr>
        <w:pStyle w:val="rand53241"/>
        <w:ind w:firstLine="426"/>
        <w:rPr>
          <w:rFonts w:asciiTheme="majorBidi" w:hAnsiTheme="majorBidi" w:cstheme="majorBidi"/>
          <w:sz w:val="24"/>
          <w:szCs w:val="24"/>
        </w:rPr>
      </w:pPr>
    </w:p>
    <w:p w14:paraId="696D06D4" w14:textId="77777777" w:rsidR="00071F83" w:rsidRPr="00FB7AB7" w:rsidRDefault="00A2003B">
      <w:pPr>
        <w:pStyle w:val="Heading2"/>
        <w:rPr>
          <w:rFonts w:asciiTheme="majorBidi" w:hAnsiTheme="majorBidi" w:cstheme="majorBidi"/>
          <w:color w:val="C00000"/>
          <w:sz w:val="24"/>
          <w:szCs w:val="24"/>
        </w:rPr>
      </w:pPr>
      <w:bookmarkStart w:id="5" w:name="_Toc94649166"/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lastRenderedPageBreak/>
        <w:t>Kaidah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t>Kedua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>:</w:t>
      </w:r>
      <w:bookmarkEnd w:id="5"/>
    </w:p>
    <w:p w14:paraId="4705F562" w14:textId="77777777" w:rsidR="00FB7AB7" w:rsidRDefault="00A2003B" w:rsidP="00F20800">
      <w:pPr>
        <w:pStyle w:val="rand50205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orang-orang kafir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"Kami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berdoa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mendekatkan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takarub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mendekatkan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." </w:t>
      </w:r>
    </w:p>
    <w:p w14:paraId="4FCEF489" w14:textId="77777777" w:rsidR="00FB7AB7" w:rsidRDefault="00A2003B" w:rsidP="00F20800">
      <w:pPr>
        <w:pStyle w:val="rand50205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qurbah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takarub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"Dan orang-orang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mengambil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pelindung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selain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Dia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berkata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), 'Kami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menyembah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melainkan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berharap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agar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mendekatkan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kami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dengan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sedekat-dekatnya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.'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Sungguh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putusan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antara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tentang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apa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perselisihkan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Sungguh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petunjuk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pendusta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orang yang sangat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ingkar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Az-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Zumar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3). </w:t>
      </w:r>
    </w:p>
    <w:p w14:paraId="16ABF193" w14:textId="6C0F4F0A" w:rsidR="00071F83" w:rsidRPr="00F20800" w:rsidRDefault="00A2003B" w:rsidP="00F20800">
      <w:pPr>
        <w:pStyle w:val="rand50205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menyembah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selain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sesuatu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dapat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mendatangkan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bencana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(pula)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manfaat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berkata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, '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itu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adalah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syafaat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kami di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hadapan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Allah.'"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Yūnus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18).</w:t>
      </w:r>
    </w:p>
    <w:p w14:paraId="5D5F3FDC" w14:textId="77777777" w:rsidR="00071F83" w:rsidRPr="00F20800" w:rsidRDefault="00A2003B" w:rsidP="00F20800">
      <w:pPr>
        <w:pStyle w:val="rand30619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terbagi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dinafikan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.</w:t>
      </w:r>
    </w:p>
    <w:p w14:paraId="2A21C240" w14:textId="279867A2" w:rsidR="00071F83" w:rsidRPr="00F20800" w:rsidRDefault="00A2003B" w:rsidP="00F20800">
      <w:pPr>
        <w:pStyle w:val="rand12802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dinafikan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pada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oleh Allah.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"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Wahai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orang-orang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beriman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!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Infakkanlah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sebagian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rezeki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telah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Kami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berikan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kepadamu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sebelum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datang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hari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ketika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lagi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jual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beli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lagi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persahabatan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lagi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syafaat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 Orang-orang kafir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itulah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orang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zalim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Al-Baqarah: 254).</w:t>
      </w:r>
    </w:p>
    <w:p w14:paraId="6C25D73B" w14:textId="44D894BB" w:rsidR="00071F83" w:rsidRPr="00F20800" w:rsidRDefault="00A2003B" w:rsidP="00F20800">
      <w:pPr>
        <w:pStyle w:val="rand32948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lastRenderedPageBreak/>
        <w:t>Sedangkan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Pemberi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dimuliakan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syafaat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 yang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ridai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ucapan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perbuatannya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izin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-Nya;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berfirman</w:t>
      </w:r>
      <w:proofErr w:type="spellEnd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"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seorang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pun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dapat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memberi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syafaat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di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sisi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tanpa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seizin-Nya."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Al-Baqarah: 255).</w:t>
      </w:r>
    </w:p>
    <w:p w14:paraId="02BEE54E" w14:textId="77777777" w:rsidR="00071F83" w:rsidRPr="00FB7AB7" w:rsidRDefault="00A2003B">
      <w:pPr>
        <w:pStyle w:val="Heading2"/>
        <w:rPr>
          <w:rFonts w:asciiTheme="majorBidi" w:hAnsiTheme="majorBidi" w:cstheme="majorBidi"/>
          <w:color w:val="C00000"/>
          <w:sz w:val="24"/>
          <w:szCs w:val="24"/>
        </w:rPr>
      </w:pPr>
      <w:bookmarkStart w:id="6" w:name="_Toc94649167"/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t>Kaidah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color w:val="C00000"/>
          <w:sz w:val="24"/>
          <w:szCs w:val="24"/>
        </w:rPr>
        <w:t>Ketiga</w:t>
      </w:r>
      <w:proofErr w:type="spellEnd"/>
      <w:r w:rsidRPr="00FB7AB7">
        <w:rPr>
          <w:rFonts w:asciiTheme="majorBidi" w:hAnsiTheme="majorBidi" w:cstheme="majorBidi"/>
          <w:color w:val="C00000"/>
          <w:sz w:val="24"/>
          <w:szCs w:val="24"/>
        </w:rPr>
        <w:t>:</w:t>
      </w:r>
      <w:bookmarkEnd w:id="6"/>
    </w:p>
    <w:p w14:paraId="1348614F" w14:textId="77777777" w:rsidR="00FB7AB7" w:rsidRDefault="00A2003B" w:rsidP="00F20800">
      <w:pPr>
        <w:pStyle w:val="rand47680"/>
        <w:ind w:firstLine="426"/>
        <w:rPr>
          <w:rFonts w:asciiTheme="majorBidi" w:hAnsiTheme="majorBidi" w:cstheme="majorBidi"/>
          <w:sz w:val="24"/>
          <w:szCs w:val="24"/>
        </w:rPr>
      </w:pPr>
      <w:r w:rsidRPr="00F20800">
        <w:rPr>
          <w:rFonts w:asciiTheme="majorBidi" w:hAnsiTheme="majorBidi" w:cstheme="majorBidi"/>
          <w:sz w:val="24"/>
          <w:szCs w:val="24"/>
        </w:rPr>
        <w:t xml:space="preserve">Nabi </w:t>
      </w:r>
      <w:r w:rsidR="00FB7AB7" w:rsidRPr="00FB7AB7">
        <w:rPr>
          <w:rFonts w:asciiTheme="majorBidi" w:hAnsiTheme="majorBidi" w:cstheme="majorBidi"/>
          <w:sz w:val="24"/>
          <w:szCs w:val="24"/>
          <w:rtl/>
        </w:rPr>
        <w:t>ﷺ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diutus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tengah-tengah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berbeda-beda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peribadatan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sebagiannya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nabi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orang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saleh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pepohonan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bebatuan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dan Rasulullah </w:t>
      </w:r>
      <w:r w:rsidR="00FB7AB7" w:rsidRPr="00FB7AB7">
        <w:rPr>
          <w:rFonts w:asciiTheme="majorBidi" w:hAnsiTheme="majorBidi" w:cstheme="majorBidi"/>
          <w:sz w:val="24"/>
          <w:szCs w:val="24"/>
          <w:rtl/>
        </w:rPr>
        <w:t>ﷺ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memerangi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membeda-bedakan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09815B33" w14:textId="77777777" w:rsidR="00FB7AB7" w:rsidRDefault="00A2003B" w:rsidP="00F20800">
      <w:pPr>
        <w:pStyle w:val="rand47680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perangilah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sehingga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lagi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fitnah, dan agar Din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ini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untuk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semata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Anfāl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39). </w:t>
      </w:r>
    </w:p>
    <w:p w14:paraId="3E1091FA" w14:textId="77777777" w:rsidR="00FB7AB7" w:rsidRDefault="00A2003B" w:rsidP="00F20800">
      <w:pPr>
        <w:pStyle w:val="rand47680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B7AB7">
        <w:rPr>
          <w:rFonts w:asciiTheme="majorBidi" w:hAnsiTheme="majorBidi" w:cstheme="majorBidi"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sebagian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dari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tanda-tanda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kebesaran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-Nya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ialah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malam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siang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matahari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bulan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Janganlah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bersujud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matahari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jangan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(pula)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bulan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tetapi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bersujudlah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yang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menciptakannya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jika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kamu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hanya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menyembah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FB7AB7">
        <w:rPr>
          <w:rFonts w:asciiTheme="majorBidi" w:hAnsiTheme="majorBidi" w:cstheme="majorBidi"/>
          <w:i/>
          <w:iCs/>
          <w:color w:val="00B050"/>
          <w:sz w:val="24"/>
          <w:szCs w:val="24"/>
        </w:rPr>
        <w:t>-Nya."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Fuṣṣilat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37). </w:t>
      </w:r>
    </w:p>
    <w:p w14:paraId="7D0C7808" w14:textId="77777777" w:rsidR="00747790" w:rsidRDefault="00A2003B" w:rsidP="00F20800">
      <w:pPr>
        <w:pStyle w:val="rand47680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74779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"Dan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mungkin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pula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baginya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menyuruh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kamu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lastRenderedPageBreak/>
        <w:t>menjadikan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para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malaikat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para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nabi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sebagai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tuhan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..."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Āli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: 80). </w:t>
      </w:r>
    </w:p>
    <w:p w14:paraId="706F7FFB" w14:textId="7658E10D" w:rsidR="00071F83" w:rsidRPr="00F20800" w:rsidRDefault="00A2003B" w:rsidP="00F20800">
      <w:pPr>
        <w:pStyle w:val="rand47680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nabi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747790"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,</w:t>
      </w:r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"Dan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ingatlah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ketika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berfirman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, '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Wahai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Isa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putra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Maryam!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Engkaukah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mengatakan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orang-orang: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jadikanlah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ibuku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sebagai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dua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Tuhan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selain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Allah?' (Isa)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menjawab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, '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Mahasuci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Engkau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patut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bagiku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mengatakan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apa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bukan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hakku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 Jika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pernah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mengatakannya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tentulah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Engkau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telah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mengetahuinya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.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Engkau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mengetahui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apa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pada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diriku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aku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tidak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mengetahui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apa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pada-Mu.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Sungguh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Engkaulah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Maha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Mengetahui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segala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gaib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.'"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Mā`idah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116).</w:t>
      </w:r>
    </w:p>
    <w:p w14:paraId="3B2683C4" w14:textId="77777777" w:rsidR="00747790" w:rsidRDefault="00A2003B" w:rsidP="00F20800">
      <w:pPr>
        <w:pStyle w:val="rand20474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orang-orang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saleh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74779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"Orang-orang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seru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itu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sendiri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mencari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jalan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Tuhan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siapa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di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antara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lebih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dekat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Allah).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mengharapkan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rahmat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-Nya dan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takut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azab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-Nya ..."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Isrā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`: 57). </w:t>
      </w:r>
    </w:p>
    <w:p w14:paraId="008DA532" w14:textId="592E3A6B" w:rsidR="00071F83" w:rsidRPr="00F20800" w:rsidRDefault="00A2003B" w:rsidP="00F20800">
      <w:pPr>
        <w:pStyle w:val="rand20474"/>
        <w:ind w:firstLine="426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menyembah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pepohonan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bebatuan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74779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"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patutkah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kamu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(orang-orang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musyrik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menganggap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berhala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) Al-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Lāta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dan Al-'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Uzzā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dan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Manāt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yang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ketiga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yang paling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kemudian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sebagai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anak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perempuan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Allah)?!"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An-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Najm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19-20).</w:t>
      </w:r>
    </w:p>
    <w:p w14:paraId="55070DA9" w14:textId="51E1635F" w:rsidR="00071F83" w:rsidRPr="00F20800" w:rsidRDefault="00A2003B" w:rsidP="00F20800">
      <w:pPr>
        <w:pStyle w:val="rand75202"/>
        <w:ind w:firstLine="426"/>
        <w:rPr>
          <w:rFonts w:asciiTheme="majorBidi" w:hAnsiTheme="majorBidi" w:cstheme="majorBidi"/>
          <w:sz w:val="24"/>
          <w:szCs w:val="24"/>
        </w:rPr>
      </w:pPr>
      <w:r w:rsidRPr="00F20800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Wāqid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Laiṡiy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“Kami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Rasulullah </w:t>
      </w:r>
      <w:r w:rsidR="00FB7AB7" w:rsidRPr="00FB7AB7">
        <w:rPr>
          <w:rFonts w:asciiTheme="majorBidi" w:hAnsiTheme="majorBidi" w:cstheme="majorBidi"/>
          <w:sz w:val="24"/>
          <w:szCs w:val="24"/>
          <w:rtl/>
        </w:rPr>
        <w:t>ﷺ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Hunain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kekafiran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Islam). Orang-orang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musyrik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pohon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bidara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beriktikaf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padanya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menggantungkan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senjata-senjata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padanya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Pohon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żātu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anwāṭ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lastRenderedPageBreak/>
        <w:t>Lantas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melewati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pohon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bidara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, '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Rasulullah!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Buatkanlah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żātu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anwāṭ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żātu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sz w:val="24"/>
          <w:szCs w:val="24"/>
        </w:rPr>
        <w:t>anwāṭ</w:t>
      </w:r>
      <w:proofErr w:type="spellEnd"/>
      <w:r w:rsidRPr="00747790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F20800">
        <w:rPr>
          <w:rFonts w:asciiTheme="majorBidi" w:hAnsiTheme="majorBidi" w:cstheme="majorBidi"/>
          <w:sz w:val="24"/>
          <w:szCs w:val="24"/>
        </w:rPr>
        <w:t>'” (Hadis)</w:t>
      </w:r>
    </w:p>
    <w:p w14:paraId="0AA3E377" w14:textId="77777777" w:rsidR="00071F83" w:rsidRPr="00747790" w:rsidRDefault="00A2003B">
      <w:pPr>
        <w:pStyle w:val="Heading2"/>
        <w:rPr>
          <w:rFonts w:asciiTheme="majorBidi" w:hAnsiTheme="majorBidi" w:cstheme="majorBidi"/>
          <w:color w:val="C00000"/>
          <w:sz w:val="24"/>
          <w:szCs w:val="24"/>
        </w:rPr>
      </w:pPr>
      <w:bookmarkStart w:id="7" w:name="_Toc94649168"/>
      <w:proofErr w:type="spellStart"/>
      <w:r w:rsidRPr="00747790">
        <w:rPr>
          <w:rFonts w:asciiTheme="majorBidi" w:hAnsiTheme="majorBidi" w:cstheme="majorBidi"/>
          <w:color w:val="C00000"/>
          <w:sz w:val="24"/>
          <w:szCs w:val="24"/>
        </w:rPr>
        <w:t>Kaidah</w:t>
      </w:r>
      <w:proofErr w:type="spellEnd"/>
      <w:r w:rsidRPr="00747790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color w:val="C00000"/>
          <w:sz w:val="24"/>
          <w:szCs w:val="24"/>
        </w:rPr>
        <w:t>Keempat</w:t>
      </w:r>
      <w:proofErr w:type="spellEnd"/>
      <w:r w:rsidRPr="00747790">
        <w:rPr>
          <w:rFonts w:asciiTheme="majorBidi" w:hAnsiTheme="majorBidi" w:cstheme="majorBidi"/>
          <w:color w:val="C00000"/>
          <w:sz w:val="24"/>
          <w:szCs w:val="24"/>
        </w:rPr>
        <w:t>:</w:t>
      </w:r>
      <w:bookmarkEnd w:id="7"/>
    </w:p>
    <w:p w14:paraId="0ECBB00F" w14:textId="77777777" w:rsidR="00747790" w:rsidRDefault="00A2003B" w:rsidP="00F20800">
      <w:pPr>
        <w:pStyle w:val="rand73919"/>
        <w:ind w:firstLine="284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musyrikin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di zaman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parah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kesyirikannya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musyrikin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zaman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dulu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Karena orang-orang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terdahulu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kesyirikan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lapang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bergelimang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kenikmatan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memurnikan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ibadah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Allah)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sempit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tertimpa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orang-orang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musyrik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di zaman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syirik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lapang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sempit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C5A0DB8" w14:textId="79920B4C" w:rsidR="00071F83" w:rsidRPr="00F20800" w:rsidRDefault="00A2003B" w:rsidP="00F20800">
      <w:pPr>
        <w:pStyle w:val="rand73919"/>
        <w:ind w:firstLine="284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Dalilnya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B7AB7" w:rsidRPr="00FB7AB7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747790"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,</w:t>
      </w:r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"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apabila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naik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kapal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berdoa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dengan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penuh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rasa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pengabdian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ikhlas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kepada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-Nya,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tetapi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ketika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Allah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menyelamatkan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sampai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darat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,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malah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mereka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kembali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) </w:t>
      </w:r>
      <w:proofErr w:type="spellStart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>mempersekutukan</w:t>
      </w:r>
      <w:proofErr w:type="spellEnd"/>
      <w:r w:rsidRPr="00747790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(Allah)."</w:t>
      </w:r>
      <w:r w:rsidRPr="00F20800">
        <w:rPr>
          <w:rFonts w:asciiTheme="majorBidi" w:hAnsiTheme="majorBidi" w:cstheme="majorBidi"/>
          <w:sz w:val="24"/>
          <w:szCs w:val="24"/>
        </w:rPr>
        <w:t xml:space="preserve"> (QS. Al-'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Ankabūt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: 65).</w:t>
      </w:r>
    </w:p>
    <w:p w14:paraId="35CD1C3E" w14:textId="77777777" w:rsidR="00071F83" w:rsidRPr="00F20800" w:rsidRDefault="00A2003B" w:rsidP="00F20800">
      <w:pPr>
        <w:pStyle w:val="rand95289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00">
        <w:rPr>
          <w:rFonts w:asciiTheme="majorBidi" w:hAnsiTheme="majorBidi" w:cstheme="majorBidi"/>
          <w:sz w:val="24"/>
          <w:szCs w:val="24"/>
        </w:rPr>
        <w:t>Wallāhu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a'lam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melimpahkan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selawat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Nabi Muhammad,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sahabat-sahabat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0800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F20800">
        <w:rPr>
          <w:rFonts w:asciiTheme="majorBidi" w:hAnsiTheme="majorBidi" w:cstheme="majorBidi"/>
          <w:sz w:val="24"/>
          <w:szCs w:val="24"/>
        </w:rPr>
        <w:t>.</w:t>
      </w:r>
    </w:p>
    <w:p w14:paraId="18C14C8B" w14:textId="77777777" w:rsidR="00071F83" w:rsidRDefault="00A2003B">
      <w:r>
        <w:br w:type="page"/>
      </w:r>
    </w:p>
    <w:p w14:paraId="265CD629" w14:textId="348F8AEE" w:rsidR="00F20800" w:rsidRPr="00F20800" w:rsidRDefault="00A2003B">
      <w:pPr>
        <w:pStyle w:val="TOC1"/>
        <w:tabs>
          <w:tab w:val="right" w:leader="dot" w:pos="6397"/>
        </w:tabs>
        <w:rPr>
          <w:rFonts w:asciiTheme="majorBidi" w:hAnsiTheme="majorBidi" w:cstheme="majorBidi"/>
          <w:noProof/>
          <w:sz w:val="24"/>
          <w:szCs w:val="24"/>
        </w:rPr>
      </w:pPr>
      <w:r w:rsidRPr="00F20800">
        <w:rPr>
          <w:rFonts w:asciiTheme="majorBidi" w:hAnsiTheme="majorBidi" w:cstheme="majorBidi"/>
          <w:sz w:val="24"/>
          <w:szCs w:val="24"/>
        </w:rPr>
        <w:lastRenderedPageBreak/>
        <w:fldChar w:fldCharType="begin"/>
      </w:r>
      <w:r w:rsidRPr="00F20800">
        <w:rPr>
          <w:rFonts w:asciiTheme="majorBidi" w:hAnsiTheme="majorBidi" w:cstheme="majorBidi"/>
          <w:sz w:val="24"/>
          <w:szCs w:val="24"/>
        </w:rPr>
        <w:instrText>TOC \o 1-9 \h \z \u</w:instrText>
      </w:r>
      <w:r w:rsidRPr="00F20800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94649163" w:history="1">
        <w:r w:rsidR="00F20800" w:rsidRPr="00F2080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MATAN AL-QAWĀ'ID AL-ARBA'</w:t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_Toc94649163 \h </w:instrText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="00865155">
          <w:rPr>
            <w:rFonts w:asciiTheme="majorBidi" w:hAnsiTheme="majorBidi" w:cstheme="majorBidi"/>
            <w:noProof/>
            <w:webHidden/>
            <w:sz w:val="24"/>
            <w:szCs w:val="24"/>
          </w:rPr>
          <w:t>3</w:t>
        </w:r>
        <w:r w:rsidR="00F20800"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14:paraId="14607896" w14:textId="35A9A7A0" w:rsidR="00F20800" w:rsidRPr="00F20800" w:rsidRDefault="00F20800">
      <w:pPr>
        <w:pStyle w:val="TOC2"/>
        <w:tabs>
          <w:tab w:val="right" w:leader="dot" w:pos="6397"/>
        </w:tabs>
        <w:rPr>
          <w:rFonts w:asciiTheme="majorBidi" w:hAnsiTheme="majorBidi" w:cstheme="majorBidi"/>
          <w:noProof/>
          <w:sz w:val="24"/>
          <w:szCs w:val="24"/>
        </w:rPr>
      </w:pPr>
      <w:hyperlink w:anchor="_Toc94649165" w:history="1">
        <w:r w:rsidRPr="00F2080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Kaidah Pertama: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_Toc94649165 \h </w:instrTex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="00865155">
          <w:rPr>
            <w:rFonts w:asciiTheme="majorBidi" w:hAnsiTheme="majorBidi" w:cstheme="majorBidi"/>
            <w:noProof/>
            <w:webHidden/>
            <w:sz w:val="24"/>
            <w:szCs w:val="24"/>
          </w:rPr>
          <w:t>4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14:paraId="53FECAD6" w14:textId="66786889" w:rsidR="00F20800" w:rsidRPr="00F20800" w:rsidRDefault="00F20800">
      <w:pPr>
        <w:pStyle w:val="TOC2"/>
        <w:tabs>
          <w:tab w:val="right" w:leader="dot" w:pos="6397"/>
        </w:tabs>
        <w:rPr>
          <w:rFonts w:asciiTheme="majorBidi" w:hAnsiTheme="majorBidi" w:cstheme="majorBidi"/>
          <w:noProof/>
          <w:sz w:val="24"/>
          <w:szCs w:val="24"/>
        </w:rPr>
      </w:pPr>
      <w:hyperlink w:anchor="_Toc94649166" w:history="1">
        <w:r w:rsidRPr="00F2080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Kaidah Kedua: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_Toc94649166 \h </w:instrTex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="00865155">
          <w:rPr>
            <w:rFonts w:asciiTheme="majorBidi" w:hAnsiTheme="majorBidi" w:cstheme="majorBidi"/>
            <w:noProof/>
            <w:webHidden/>
            <w:sz w:val="24"/>
            <w:szCs w:val="24"/>
          </w:rPr>
          <w:t>5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14:paraId="70B8645B" w14:textId="5EBC57A8" w:rsidR="00F20800" w:rsidRPr="00F20800" w:rsidRDefault="00F20800">
      <w:pPr>
        <w:pStyle w:val="TOC2"/>
        <w:tabs>
          <w:tab w:val="right" w:leader="dot" w:pos="6397"/>
        </w:tabs>
        <w:rPr>
          <w:rFonts w:asciiTheme="majorBidi" w:hAnsiTheme="majorBidi" w:cstheme="majorBidi"/>
          <w:noProof/>
          <w:sz w:val="24"/>
          <w:szCs w:val="24"/>
        </w:rPr>
      </w:pPr>
      <w:hyperlink w:anchor="_Toc94649167" w:history="1">
        <w:r w:rsidRPr="00F2080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Kaidah Ketiga: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_Toc94649167 \h </w:instrTex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="00865155">
          <w:rPr>
            <w:rFonts w:asciiTheme="majorBidi" w:hAnsiTheme="majorBidi" w:cstheme="majorBidi"/>
            <w:noProof/>
            <w:webHidden/>
            <w:sz w:val="24"/>
            <w:szCs w:val="24"/>
          </w:rPr>
          <w:t>6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14:paraId="6CEEF77C" w14:textId="77D7AD52" w:rsidR="00F20800" w:rsidRPr="00F20800" w:rsidRDefault="00F20800">
      <w:pPr>
        <w:pStyle w:val="TOC2"/>
        <w:tabs>
          <w:tab w:val="right" w:leader="dot" w:pos="6397"/>
        </w:tabs>
        <w:rPr>
          <w:rFonts w:asciiTheme="majorBidi" w:hAnsiTheme="majorBidi" w:cstheme="majorBidi"/>
          <w:noProof/>
          <w:sz w:val="24"/>
          <w:szCs w:val="24"/>
        </w:rPr>
      </w:pPr>
      <w:hyperlink w:anchor="_Toc94649168" w:history="1">
        <w:r w:rsidRPr="00F2080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Kaidah Keempat: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_Toc94649168 \h </w:instrTex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="00865155">
          <w:rPr>
            <w:rFonts w:asciiTheme="majorBidi" w:hAnsiTheme="majorBidi" w:cstheme="majorBidi"/>
            <w:noProof/>
            <w:webHidden/>
            <w:sz w:val="24"/>
            <w:szCs w:val="24"/>
          </w:rPr>
          <w:t>8</w:t>
        </w:r>
        <w:r w:rsidRPr="00F20800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14:paraId="7F2E2972" w14:textId="269936C7" w:rsidR="00071F83" w:rsidRPr="00F20800" w:rsidRDefault="00A2003B">
      <w:pPr>
        <w:rPr>
          <w:rFonts w:asciiTheme="majorBidi" w:hAnsiTheme="majorBidi" w:cstheme="majorBidi"/>
          <w:sz w:val="24"/>
          <w:szCs w:val="24"/>
        </w:rPr>
      </w:pPr>
      <w:r w:rsidRPr="00F20800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071F83" w:rsidRPr="00F20800" w:rsidSect="00882D9E">
      <w:headerReference w:type="default" r:id="rId7"/>
      <w:footerReference w:type="default" r:id="rId8"/>
      <w:type w:val="continuous"/>
      <w:pgSz w:w="8392" w:h="11907" w:code="11"/>
      <w:pgMar w:top="1418" w:right="851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AFD7" w14:textId="77777777" w:rsidR="00FF148F" w:rsidRDefault="00FF148F">
      <w:pPr>
        <w:spacing w:after="0" w:line="240" w:lineRule="auto"/>
      </w:pPr>
      <w:r>
        <w:separator/>
      </w:r>
    </w:p>
  </w:endnote>
  <w:endnote w:type="continuationSeparator" w:id="0">
    <w:p w14:paraId="2C9F3DB5" w14:textId="77777777" w:rsidR="00FF148F" w:rsidRDefault="00FF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52860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05FFD70B" w14:textId="25E8FF90" w:rsidR="00071F83" w:rsidRDefault="00747790" w:rsidP="00747790">
        <w:pPr>
          <w:pStyle w:val="Footer"/>
          <w:jc w:val="center"/>
        </w:pPr>
        <w:r w:rsidRPr="0074779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74779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4779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747790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747790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A162" w14:textId="77777777" w:rsidR="00FF148F" w:rsidRDefault="00FF148F">
      <w:pPr>
        <w:spacing w:after="0" w:line="240" w:lineRule="auto"/>
      </w:pPr>
      <w:r>
        <w:separator/>
      </w:r>
    </w:p>
  </w:footnote>
  <w:footnote w:type="continuationSeparator" w:id="0">
    <w:p w14:paraId="62A03034" w14:textId="77777777" w:rsidR="00FF148F" w:rsidRDefault="00FF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ED0" w14:textId="77777777" w:rsidR="00071F83" w:rsidRDefault="00A2003B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F83"/>
    <w:rsid w:val="00071F83"/>
    <w:rsid w:val="00747790"/>
    <w:rsid w:val="00865155"/>
    <w:rsid w:val="00882D9E"/>
    <w:rsid w:val="00A2003B"/>
    <w:rsid w:val="00ED3A9B"/>
    <w:rsid w:val="00F20800"/>
    <w:rsid w:val="00FB7AB7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9AFA"/>
  <w15:docId w15:val="{D4EF60A6-A2AF-4D72-A475-33B24D7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44837">
    <w:name w:val="rand44837"/>
    <w:basedOn w:val="Normal"/>
    <w:pPr>
      <w:jc w:val="center"/>
    </w:pPr>
  </w:style>
  <w:style w:type="paragraph" w:customStyle="1" w:styleId="rand81575">
    <w:name w:val="rand81575"/>
    <w:basedOn w:val="Normal"/>
    <w:pPr>
      <w:jc w:val="center"/>
    </w:pPr>
  </w:style>
  <w:style w:type="paragraph" w:customStyle="1" w:styleId="rand45365">
    <w:name w:val="rand45365"/>
    <w:basedOn w:val="Normal"/>
    <w:pPr>
      <w:jc w:val="both"/>
    </w:pPr>
  </w:style>
  <w:style w:type="paragraph" w:customStyle="1" w:styleId="rand2437">
    <w:name w:val="rand2437"/>
    <w:basedOn w:val="Normal"/>
    <w:pPr>
      <w:jc w:val="both"/>
    </w:pPr>
  </w:style>
  <w:style w:type="paragraph" w:customStyle="1" w:styleId="rand40029">
    <w:name w:val="rand40029"/>
    <w:basedOn w:val="Normal"/>
    <w:pPr>
      <w:jc w:val="both"/>
    </w:pPr>
  </w:style>
  <w:style w:type="paragraph" w:customStyle="1" w:styleId="rand53241">
    <w:name w:val="rand53241"/>
    <w:basedOn w:val="Normal"/>
    <w:pPr>
      <w:jc w:val="both"/>
    </w:pPr>
  </w:style>
  <w:style w:type="paragraph" w:customStyle="1" w:styleId="rand50205">
    <w:name w:val="rand50205"/>
    <w:basedOn w:val="Normal"/>
    <w:pPr>
      <w:jc w:val="both"/>
    </w:pPr>
  </w:style>
  <w:style w:type="paragraph" w:customStyle="1" w:styleId="rand30619">
    <w:name w:val="rand30619"/>
    <w:basedOn w:val="Normal"/>
    <w:pPr>
      <w:jc w:val="both"/>
    </w:pPr>
  </w:style>
  <w:style w:type="paragraph" w:customStyle="1" w:styleId="rand12802">
    <w:name w:val="rand12802"/>
    <w:basedOn w:val="Normal"/>
    <w:pPr>
      <w:jc w:val="both"/>
    </w:pPr>
  </w:style>
  <w:style w:type="paragraph" w:customStyle="1" w:styleId="rand32948">
    <w:name w:val="rand32948"/>
    <w:basedOn w:val="Normal"/>
    <w:pPr>
      <w:jc w:val="both"/>
    </w:pPr>
  </w:style>
  <w:style w:type="paragraph" w:customStyle="1" w:styleId="rand47680">
    <w:name w:val="rand47680"/>
    <w:basedOn w:val="Normal"/>
    <w:pPr>
      <w:jc w:val="both"/>
    </w:pPr>
  </w:style>
  <w:style w:type="paragraph" w:customStyle="1" w:styleId="rand20474">
    <w:name w:val="rand20474"/>
    <w:basedOn w:val="Normal"/>
    <w:pPr>
      <w:jc w:val="both"/>
    </w:pPr>
  </w:style>
  <w:style w:type="paragraph" w:customStyle="1" w:styleId="rand75202">
    <w:name w:val="rand75202"/>
    <w:basedOn w:val="Normal"/>
    <w:pPr>
      <w:jc w:val="both"/>
    </w:pPr>
  </w:style>
  <w:style w:type="paragraph" w:customStyle="1" w:styleId="rand73919">
    <w:name w:val="rand73919"/>
    <w:basedOn w:val="Normal"/>
    <w:pPr>
      <w:jc w:val="both"/>
    </w:pPr>
  </w:style>
  <w:style w:type="paragraph" w:customStyle="1" w:styleId="rand95289">
    <w:name w:val="rand95289"/>
    <w:basedOn w:val="Normal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882D9E"/>
    <w:rPr>
      <w:b/>
      <w:bCs/>
      <w:color w:val="333333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F208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0800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208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90"/>
  </w:style>
  <w:style w:type="paragraph" w:styleId="Footer">
    <w:name w:val="footer"/>
    <w:basedOn w:val="Normal"/>
    <w:link w:val="FooterChar"/>
    <w:uiPriority w:val="99"/>
    <w:unhideWhenUsed/>
    <w:rsid w:val="00747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Thalib</dc:creator>
  <cp:keywords/>
  <dc:description/>
  <cp:lastModifiedBy>Muhammad Thalib</cp:lastModifiedBy>
  <cp:revision>4</cp:revision>
  <cp:lastPrinted>2022-02-01T20:15:00Z</cp:lastPrinted>
  <dcterms:created xsi:type="dcterms:W3CDTF">2021-12-26T08:15:00Z</dcterms:created>
  <dcterms:modified xsi:type="dcterms:W3CDTF">2022-02-01T20:15:00Z</dcterms:modified>
  <cp:category/>
</cp:coreProperties>
</file>