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E49" w:rsidRPr="006D26A1" w:rsidRDefault="00FD1E49" w:rsidP="00FD1E49">
      <w:pPr>
        <w:jc w:val="center"/>
        <w:rPr>
          <w:rFonts w:ascii="Gotham Narrow Book" w:hAnsi="Gotham Narrow Book"/>
          <w:sz w:val="64"/>
          <w:szCs w:val="64"/>
          <w:rtl/>
          <w:lang w:bidi="ar-EG"/>
        </w:rPr>
      </w:pPr>
      <w:bookmarkStart w:id="0" w:name="_Hlk478904983"/>
      <w:bookmarkEnd w:id="0"/>
    </w:p>
    <w:p w:rsidR="00175A6E" w:rsidRPr="002029D3" w:rsidRDefault="00175A6E" w:rsidP="00175A6E">
      <w:pPr>
        <w:bidi w:val="0"/>
        <w:spacing w:line="240" w:lineRule="auto"/>
        <w:jc w:val="center"/>
        <w:rPr>
          <w:rFonts w:ascii="Goudy Old Style" w:eastAsia="Verdana" w:hAnsi="Goudy Old Style" w:cstheme="majorBidi"/>
          <w:sz w:val="36"/>
          <w:szCs w:val="36"/>
          <w:lang w:val="it-IT" w:eastAsia="zh-CN" w:bidi="ar-SY"/>
        </w:rPr>
      </w:pPr>
      <w:r w:rsidRPr="002029D3">
        <w:rPr>
          <w:rFonts w:ascii="Goudy Old Style" w:eastAsia="Verdana" w:hAnsi="Goudy Old Style" w:cstheme="majorBidi"/>
          <w:sz w:val="36"/>
          <w:szCs w:val="36"/>
          <w:lang w:val="it-IT" w:eastAsia="zh-CN" w:bidi="ar-SY"/>
        </w:rPr>
        <w:t>PERCHÈ I MUSULMANI NON SONO COESI NEL DIGIUNO?</w:t>
      </w:r>
    </w:p>
    <w:p w:rsidR="00175A6E" w:rsidRPr="002029D3" w:rsidRDefault="00175A6E" w:rsidP="00175A6E">
      <w:pPr>
        <w:bidi w:val="0"/>
        <w:spacing w:line="240" w:lineRule="auto"/>
        <w:jc w:val="center"/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</w:pPr>
    </w:p>
    <w:p w:rsidR="00C729E9" w:rsidRPr="003B0D47" w:rsidRDefault="00C729E9" w:rsidP="00244087">
      <w:pPr>
        <w:spacing w:line="240" w:lineRule="auto"/>
        <w:ind w:right="180"/>
        <w:jc w:val="center"/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</w:pPr>
    </w:p>
    <w:p w:rsidR="00244087" w:rsidRPr="003B0D47" w:rsidRDefault="00244087" w:rsidP="00244087">
      <w:pPr>
        <w:tabs>
          <w:tab w:val="left" w:pos="753"/>
          <w:tab w:val="center" w:pos="3118"/>
        </w:tabs>
        <w:rPr>
          <w:rFonts w:asciiTheme="majorBidi" w:eastAsia="Verdana" w:hAnsiTheme="majorBidi" w:cstheme="majorBidi"/>
          <w:color w:val="800000"/>
          <w:sz w:val="28"/>
          <w:szCs w:val="28"/>
          <w:u w:val="single"/>
          <w:lang w:val="it-IT" w:eastAsia="zh-CN" w:bidi="ar-SY"/>
        </w:rPr>
      </w:pPr>
      <w:r w:rsidRPr="00C67DCB">
        <w:rPr>
          <w:rFonts w:ascii="Gotham Light" w:hAnsi="Gotham Light"/>
          <w:noProof/>
          <w:color w:val="5EA1A5"/>
          <w:sz w:val="144"/>
          <w:szCs w:val="144"/>
        </w:rPr>
        <w:drawing>
          <wp:anchor distT="0" distB="0" distL="114300" distR="114300" simplePos="0" relativeHeight="251659264" behindDoc="0" locked="0" layoutInCell="1" allowOverlap="1" wp14:anchorId="612C324F" wp14:editId="7792F163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3B0D47" w:rsidRDefault="00FD1E49" w:rsidP="00FD1E49">
      <w:pPr>
        <w:tabs>
          <w:tab w:val="left" w:pos="753"/>
          <w:tab w:val="center" w:pos="3118"/>
        </w:tabs>
        <w:rPr>
          <w:rFonts w:ascii="Gotham Narrow Light" w:hAnsi="Gotham Narrow Light"/>
          <w:color w:val="5EA1A5"/>
          <w:sz w:val="58"/>
          <w:szCs w:val="96"/>
          <w:lang w:val="it-IT" w:bidi="ar-EG"/>
        </w:rPr>
      </w:pPr>
    </w:p>
    <w:p w:rsidR="00175A6E" w:rsidRPr="002029D3" w:rsidRDefault="00175A6E" w:rsidP="00175A6E">
      <w:pPr>
        <w:bidi w:val="0"/>
        <w:spacing w:line="240" w:lineRule="auto"/>
        <w:jc w:val="center"/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</w:pPr>
      <w:r w:rsidRPr="002029D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Isl</w:t>
      </w:r>
      <w:r w:rsidRPr="002029D3">
        <w:rPr>
          <w:rFonts w:asciiTheme="majorBidi" w:hAnsiTheme="majorBidi" w:cstheme="majorBidi"/>
          <w:i/>
          <w:iCs/>
          <w:sz w:val="28"/>
          <w:szCs w:val="28"/>
          <w:lang w:val="it-IT"/>
        </w:rPr>
        <w:t>ā</w:t>
      </w:r>
      <w:r w:rsidRPr="002029D3">
        <w:rPr>
          <w:rFonts w:asciiTheme="majorBidi" w:eastAsia="Verdana" w:hAnsiTheme="majorBidi" w:cstheme="majorBidi"/>
          <w:i/>
          <w:iCs/>
          <w:sz w:val="28"/>
          <w:szCs w:val="28"/>
          <w:lang w:val="it-IT" w:eastAsia="zh-CN" w:bidi="ar-SY"/>
        </w:rPr>
        <w:t>m Q&amp;A</w:t>
      </w: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Pr="003B0D47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val="it-IT" w:bidi="ar-EG"/>
        </w:rPr>
      </w:pPr>
    </w:p>
    <w:p w:rsidR="00FD1E49" w:rsidRPr="003B0D47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val="it-IT"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ar-EG"/>
        </w:rPr>
      </w:pPr>
    </w:p>
    <w:p w:rsidR="00866ECC" w:rsidRPr="003B0D47" w:rsidRDefault="00866ECC" w:rsidP="00866ECC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val="it-IT" w:bidi="ar-EG"/>
        </w:rPr>
      </w:pPr>
      <w:r w:rsidRPr="003B0D47">
        <w:rPr>
          <w:rFonts w:asciiTheme="majorHAnsi" w:hAnsiTheme="majorHAnsi" w:cstheme="majorHAnsi"/>
          <w:sz w:val="32"/>
          <w:szCs w:val="32"/>
          <w:lang w:val="it-IT" w:bidi="ar-EG"/>
        </w:rPr>
        <w:t>Traduzione: Maria Pragliola</w:t>
      </w:r>
    </w:p>
    <w:p w:rsidR="00866ECC" w:rsidRPr="003B0D47" w:rsidRDefault="00866ECC" w:rsidP="003B0D47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val="it-IT" w:bidi="ar-EG"/>
        </w:rPr>
      </w:pPr>
      <w:r w:rsidRPr="003B0D47">
        <w:rPr>
          <w:rFonts w:asciiTheme="majorHAnsi" w:hAnsiTheme="majorHAnsi" w:cstheme="majorHAnsi"/>
          <w:sz w:val="32"/>
          <w:szCs w:val="32"/>
          <w:lang w:val="it-IT" w:bidi="ar-EG"/>
        </w:rPr>
        <w:t>Revisione: Rezk Mohamed A. Ismaeil</w:t>
      </w:r>
    </w:p>
    <w:p w:rsidR="00FD1E49" w:rsidRPr="00866ECC" w:rsidRDefault="00FD1E49" w:rsidP="00FD1E49">
      <w:pPr>
        <w:spacing w:line="240" w:lineRule="auto"/>
        <w:jc w:val="center"/>
        <w:rPr>
          <w:rFonts w:ascii="Gotham Narrow Book" w:hAnsi="Gotham Narrow Book"/>
          <w:sz w:val="62"/>
          <w:szCs w:val="72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 w:cs="Arial Unicode MS"/>
          <w:sz w:val="60"/>
          <w:szCs w:val="60"/>
          <w:rtl/>
        </w:rPr>
        <w:sectPr w:rsidR="00FD1E49" w:rsidSect="006D26A1">
          <w:headerReference w:type="even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bidi/>
          <w:rtlGutter/>
          <w:docGrid w:linePitch="360"/>
        </w:sectPr>
      </w:pPr>
    </w:p>
    <w:p w:rsidR="00FD1E49" w:rsidRDefault="00FD1E49" w:rsidP="00FD1E49">
      <w:pPr>
        <w:spacing w:line="240" w:lineRule="auto"/>
        <w:jc w:val="center"/>
        <w:rPr>
          <w:rFonts w:ascii="ae_AlArabiya" w:hAnsi="ae_AlArabiya" w:cs="KFGQPC Uthman Taha Naskh"/>
          <w:b/>
          <w:bCs/>
          <w:sz w:val="42"/>
          <w:szCs w:val="48"/>
          <w:rtl/>
        </w:rPr>
      </w:pPr>
    </w:p>
    <w:p w:rsidR="00175A6E" w:rsidRPr="00C729E9" w:rsidRDefault="00175A6E" w:rsidP="00FD1E49">
      <w:pPr>
        <w:spacing w:line="240" w:lineRule="auto"/>
        <w:jc w:val="center"/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</w:pPr>
      <w:r w:rsidRPr="00175A6E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لماذا</w:t>
      </w:r>
      <w:r w:rsidRPr="00175A6E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175A6E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لا</w:t>
      </w:r>
      <w:r w:rsidRPr="00175A6E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175A6E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يتوحد</w:t>
      </w:r>
      <w:r w:rsidRPr="00175A6E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175A6E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المسلمون</w:t>
      </w:r>
      <w:r w:rsidRPr="00175A6E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175A6E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في</w:t>
      </w:r>
      <w:r w:rsidRPr="00175A6E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175A6E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الصيام؟</w:t>
      </w:r>
    </w:p>
    <w:p w:rsidR="00FD1E49" w:rsidRPr="006D26A1" w:rsidRDefault="008A58B6" w:rsidP="00FD1E49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(باللغة الإيطالية</w:t>
      </w:r>
      <w:r w:rsidR="00FD1E49" w:rsidRPr="006D26A1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)</w:t>
      </w:r>
      <w:r w:rsidR="00FD1E49"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5B436A5C" wp14:editId="44542DF4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Default="00FD1E49" w:rsidP="00FD1E49">
      <w:pPr>
        <w:jc w:val="center"/>
        <w:rPr>
          <w:rFonts w:ascii="Adobe نسخ Medium" w:hAnsi="Adobe نسخ Medium" w:cs="Adobe نسخ Medium"/>
          <w:color w:val="205B83"/>
          <w:sz w:val="56"/>
          <w:szCs w:val="56"/>
          <w:rtl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FD1E49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6"/>
          <w:szCs w:val="36"/>
          <w:rtl/>
        </w:rPr>
      </w:pPr>
      <w:bookmarkStart w:id="1" w:name="OLE_LINK1"/>
    </w:p>
    <w:p w:rsidR="00C729E9" w:rsidRDefault="00C729E9" w:rsidP="00FD1E49">
      <w:pPr>
        <w:spacing w:line="240" w:lineRule="auto"/>
        <w:jc w:val="center"/>
        <w:rPr>
          <w:rFonts w:asciiTheme="majorHAnsi" w:hAnsiTheme="majorHAnsi" w:cs="KFGQPC Uthman Taha Naskh"/>
          <w:sz w:val="40"/>
          <w:szCs w:val="40"/>
          <w:lang w:bidi="ar-EG"/>
        </w:rPr>
      </w:pPr>
    </w:p>
    <w:p w:rsidR="00175A6E" w:rsidRPr="00175A6E" w:rsidRDefault="00175A6E" w:rsidP="00FD1E49">
      <w:pPr>
        <w:spacing w:line="240" w:lineRule="auto"/>
        <w:jc w:val="center"/>
        <w:rPr>
          <w:rFonts w:asciiTheme="majorHAnsi" w:hAnsiTheme="majorHAnsi" w:cs="KFGQPC Uthman Taha Naskh"/>
          <w:sz w:val="40"/>
          <w:szCs w:val="40"/>
          <w:rtl/>
          <w:lang w:bidi="ar-EG"/>
        </w:rPr>
      </w:pPr>
      <w:r w:rsidRPr="00175A6E">
        <w:rPr>
          <w:rFonts w:asciiTheme="majorHAnsi" w:hAnsiTheme="majorHAnsi" w:cs="KFGQPC Uthman Taha Naskh" w:hint="cs"/>
          <w:sz w:val="40"/>
          <w:szCs w:val="40"/>
          <w:rtl/>
          <w:lang w:bidi="ar-EG"/>
        </w:rPr>
        <w:t>موقع الإسلام سؤال وجواب</w:t>
      </w:r>
    </w:p>
    <w:p w:rsidR="00FD1E49" w:rsidRPr="006D26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bookmarkEnd w:id="1"/>
    <w:p w:rsidR="00866ECC" w:rsidRPr="006D26A1" w:rsidRDefault="00866ECC" w:rsidP="00866ECC">
      <w:pPr>
        <w:spacing w:line="240" w:lineRule="auto"/>
        <w:jc w:val="center"/>
        <w:rPr>
          <w:rFonts w:asciiTheme="majorHAnsi" w:hAnsiTheme="majorHAnsi" w:cs="KFGQPC Uthman Taha Naskh"/>
          <w:sz w:val="44"/>
          <w:szCs w:val="44"/>
          <w:rtl/>
        </w:rPr>
      </w:pP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ترجمة: </w:t>
      </w:r>
      <w:r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م</w:t>
      </w:r>
      <w:r w:rsidR="0018103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</w:t>
      </w:r>
      <w:r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ريا براليولا</w:t>
      </w:r>
    </w:p>
    <w:p w:rsidR="00FD1E49" w:rsidRDefault="00866ECC" w:rsidP="00866ECC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lang w:bidi="ar-EG"/>
        </w:rPr>
      </w:pP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مراجعة: </w:t>
      </w:r>
      <w:r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رزق محمد عبد المجيد إسماعيل</w:t>
      </w: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Pr="006D26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C73BE02" wp14:editId="2F4D40CC">
            <wp:simplePos x="0" y="0"/>
            <wp:positionH relativeFrom="margin">
              <wp:posOffset>-224886</wp:posOffset>
            </wp:positionH>
            <wp:positionV relativeFrom="paragraph">
              <wp:posOffset>288290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6D26A1" w:rsidRDefault="00FD1E49" w:rsidP="00FD1E49">
      <w:pPr>
        <w:tabs>
          <w:tab w:val="left" w:pos="2910"/>
        </w:tabs>
        <w:bidi w:val="0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</w:p>
    <w:p w:rsidR="002029D3" w:rsidRDefault="002029D3">
      <w:pPr>
        <w:bidi w:val="0"/>
        <w:rPr>
          <w:rFonts w:asciiTheme="majorBidi" w:eastAsia="Verdana" w:hAnsiTheme="majorBidi" w:cstheme="majorBidi"/>
          <w:color w:val="800000"/>
          <w:sz w:val="28"/>
          <w:szCs w:val="28"/>
          <w:lang w:val="it-IT" w:eastAsia="zh-CN" w:bidi="ar-SY"/>
        </w:rPr>
      </w:pPr>
      <w:r>
        <w:rPr>
          <w:rFonts w:asciiTheme="majorBidi" w:eastAsia="Verdana" w:hAnsiTheme="majorBidi" w:cstheme="majorBidi"/>
          <w:color w:val="800000"/>
          <w:sz w:val="28"/>
          <w:szCs w:val="28"/>
          <w:lang w:val="it-IT" w:eastAsia="zh-CN" w:bidi="ar-SY"/>
        </w:rPr>
        <w:br w:type="page"/>
      </w:r>
    </w:p>
    <w:p w:rsidR="00175A6E" w:rsidRPr="002029D3" w:rsidRDefault="00175A6E" w:rsidP="00FA127D">
      <w:pPr>
        <w:bidi w:val="0"/>
        <w:spacing w:line="240" w:lineRule="auto"/>
        <w:jc w:val="both"/>
        <w:rPr>
          <w:rFonts w:asciiTheme="majorBidi" w:eastAsia="Verdana" w:hAnsiTheme="majorBidi" w:cstheme="majorBidi"/>
          <w:color w:val="800000"/>
          <w:sz w:val="27"/>
          <w:szCs w:val="27"/>
          <w:lang w:val="it-IT" w:eastAsia="zh-CN" w:bidi="ar-SY"/>
        </w:rPr>
      </w:pPr>
      <w:r w:rsidRPr="002029D3">
        <w:rPr>
          <w:rFonts w:asciiTheme="majorBidi" w:eastAsia="Verdana" w:hAnsiTheme="majorBidi" w:cstheme="majorBidi"/>
          <w:color w:val="800000"/>
          <w:sz w:val="27"/>
          <w:szCs w:val="27"/>
          <w:lang w:val="it-IT" w:eastAsia="zh-CN" w:bidi="ar-SY"/>
        </w:rPr>
        <w:lastRenderedPageBreak/>
        <w:t>PERCHÈ I MUSULMANI NON SONO COESI NEL DIGIUNO?</w:t>
      </w:r>
    </w:p>
    <w:p w:rsidR="00175A6E" w:rsidRPr="002029D3" w:rsidRDefault="00175A6E" w:rsidP="00FA127D">
      <w:pPr>
        <w:pStyle w:val="NormalWeb"/>
        <w:spacing w:before="0" w:beforeAutospacing="0" w:after="240" w:afterAutospacing="0"/>
        <w:jc w:val="both"/>
        <w:rPr>
          <w:rFonts w:asciiTheme="majorBidi" w:hAnsiTheme="majorBidi" w:cstheme="majorBidi"/>
          <w:color w:val="008000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color w:val="008000"/>
          <w:sz w:val="27"/>
          <w:szCs w:val="27"/>
          <w:lang w:val="it-IT"/>
        </w:rPr>
        <w:t>Perché i musulmani non si uniscono nel loro digiuno malgrado ci sia una falce lunare crescente</w:t>
      </w:r>
      <w:r w:rsidRPr="002029D3">
        <w:rPr>
          <w:rFonts w:asciiTheme="majorBidi" w:hAnsiTheme="majorBidi" w:cstheme="majorBidi"/>
          <w:color w:val="008000"/>
          <w:sz w:val="27"/>
          <w:szCs w:val="27"/>
          <w:rtl/>
          <w:lang w:val="it-IT"/>
        </w:rPr>
        <w:t xml:space="preserve"> </w:t>
      </w:r>
      <w:r w:rsidRPr="002029D3">
        <w:rPr>
          <w:rFonts w:asciiTheme="majorBidi" w:hAnsiTheme="majorBidi" w:cstheme="majorBidi"/>
          <w:color w:val="008000"/>
          <w:sz w:val="27"/>
          <w:szCs w:val="27"/>
          <w:lang w:val="it-IT"/>
        </w:rPr>
        <w:t>(</w:t>
      </w:r>
      <w:r w:rsidRPr="002029D3">
        <w:rPr>
          <w:rFonts w:asciiTheme="majorBidi" w:hAnsiTheme="majorBidi" w:cstheme="majorBidi"/>
          <w:i/>
          <w:iCs/>
          <w:color w:val="008000"/>
          <w:sz w:val="27"/>
          <w:szCs w:val="27"/>
          <w:lang w:val="it-IT"/>
        </w:rPr>
        <w:t>Al-Hilāl</w:t>
      </w:r>
      <w:r w:rsidRPr="002029D3">
        <w:rPr>
          <w:rFonts w:asciiTheme="majorBidi" w:hAnsiTheme="majorBidi" w:cstheme="majorBidi"/>
          <w:color w:val="008000"/>
          <w:sz w:val="27"/>
          <w:szCs w:val="27"/>
          <w:lang w:val="it-IT"/>
        </w:rPr>
        <w:t xml:space="preserve">) unica per </w:t>
      </w:r>
      <w:r w:rsidRPr="002029D3">
        <w:rPr>
          <w:rFonts w:asciiTheme="majorBidi" w:hAnsiTheme="majorBidi" w:cstheme="majorBidi"/>
          <w:i/>
          <w:iCs/>
          <w:color w:val="008000"/>
          <w:sz w:val="27"/>
          <w:szCs w:val="27"/>
          <w:lang w:val="it-IT"/>
        </w:rPr>
        <w:t>Ramaḑān</w:t>
      </w:r>
      <w:r w:rsidRPr="002029D3">
        <w:rPr>
          <w:rFonts w:asciiTheme="majorBidi" w:hAnsiTheme="majorBidi" w:cstheme="majorBidi"/>
          <w:color w:val="008000"/>
          <w:sz w:val="27"/>
          <w:szCs w:val="27"/>
          <w:lang w:val="it-IT"/>
        </w:rPr>
        <w:t>? Ciò considerando che nel passato c’era la giustificazione dell’assenza di media o mezzi di comu</w:t>
      </w:r>
      <w:bookmarkStart w:id="2" w:name="_GoBack"/>
      <w:bookmarkEnd w:id="2"/>
      <w:r w:rsidRPr="002029D3">
        <w:rPr>
          <w:rFonts w:asciiTheme="majorBidi" w:hAnsiTheme="majorBidi" w:cstheme="majorBidi"/>
          <w:color w:val="008000"/>
          <w:sz w:val="27"/>
          <w:szCs w:val="27"/>
          <w:lang w:val="it-IT"/>
        </w:rPr>
        <w:t>nicazione.</w:t>
      </w:r>
    </w:p>
    <w:p w:rsidR="00175A6E" w:rsidRPr="002029D3" w:rsidRDefault="00175A6E" w:rsidP="00FA127D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7"/>
          <w:szCs w:val="27"/>
          <w:lang w:val="it-IT" w:eastAsia="zh-CN" w:bidi="ar-SY"/>
        </w:rPr>
      </w:pPr>
      <w:r w:rsidRPr="002029D3">
        <w:rPr>
          <w:rFonts w:asciiTheme="majorBidi" w:eastAsia="Verdana" w:hAnsiTheme="majorBidi" w:cstheme="majorBidi"/>
          <w:sz w:val="27"/>
          <w:szCs w:val="27"/>
          <w:lang w:val="it-IT" w:eastAsia="zh-CN" w:bidi="ar-SY"/>
        </w:rPr>
        <w:t>La lode a Iddio.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In primo luogo: la ragione preponderante per la differenza nell’inizio del digiuno da un paese all’altro è la differenza nel sorgimento della falce lunare crescente</w:t>
      </w:r>
      <w:r w:rsidR="002029D3">
        <w:rPr>
          <w:rFonts w:asciiTheme="majorBidi" w:hAnsiTheme="majorBidi" w:cstheme="majorBidi"/>
          <w:sz w:val="27"/>
          <w:szCs w:val="27"/>
          <w:lang w:val="it-IT"/>
        </w:rPr>
        <w:t xml:space="preserve">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(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Matāli</w:t>
      </w:r>
      <w:r w:rsidR="00A66111" w:rsidRPr="00A66111">
        <w:rPr>
          <w:rFonts w:asciiTheme="majorBidi" w:hAnsiTheme="majorBidi" w:cstheme="majorBidi"/>
          <w:i/>
          <w:iCs/>
          <w:sz w:val="27"/>
          <w:szCs w:val="27"/>
          <w:lang w:val="it-IT"/>
        </w:rPr>
        <w:t>ʿ</w:t>
      </w:r>
      <w:r w:rsid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 xml:space="preserve"> 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Al-Ahillah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), e tale differenza è ben note ai sensi e alla mente.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Sulla base di ciò, non è possibile imporre a tutti i musulmani il digiuno allo stesso tempo, poiché ciò significherebbe imporre ad alcuni di loro il digiuno prima dell’avvistamento della falce lunare crescente, o anzi persino prima del suo sorgimento.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</w:t>
      </w:r>
      <w:r w:rsidRPr="002029D3">
        <w:rPr>
          <w:rFonts w:asciiTheme="majorBidi" w:hAnsiTheme="majorBidi" w:cstheme="majorBidi"/>
          <w:i/>
          <w:iCs/>
          <w:sz w:val="27"/>
          <w:szCs w:val="27"/>
          <w:u w:val="single"/>
          <w:lang w:val="it-IT"/>
        </w:rPr>
        <w:t>sh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-</w:t>
      </w:r>
      <w:r w:rsidRPr="002029D3">
        <w:rPr>
          <w:rFonts w:asciiTheme="majorBidi" w:hAnsiTheme="majorBidi" w:cstheme="majorBidi"/>
          <w:i/>
          <w:iCs/>
          <w:sz w:val="27"/>
          <w:szCs w:val="27"/>
          <w:u w:val="single"/>
          <w:lang w:val="it-IT"/>
        </w:rPr>
        <w:t>Sh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 xml:space="preserve">aykh Ibn </w:t>
      </w:r>
      <w:r w:rsidR="00A66111" w:rsidRPr="00A66111">
        <w:rPr>
          <w:rFonts w:asciiTheme="majorBidi" w:hAnsiTheme="majorBidi" w:cstheme="majorBidi"/>
          <w:i/>
          <w:iCs/>
          <w:sz w:val="27"/>
          <w:szCs w:val="27"/>
          <w:lang w:val="it-IT"/>
        </w:rPr>
        <w:t>ʿ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U</w:t>
      </w:r>
      <w:r w:rsidRPr="002029D3">
        <w:rPr>
          <w:rFonts w:asciiTheme="majorBidi" w:hAnsiTheme="majorBidi" w:cstheme="majorBidi"/>
          <w:i/>
          <w:iCs/>
          <w:sz w:val="27"/>
          <w:szCs w:val="27"/>
          <w:u w:val="single"/>
          <w:lang w:val="it-IT"/>
        </w:rPr>
        <w:t>th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aymīn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- </w:t>
      </w:r>
      <w:r w:rsidRPr="00A66111">
        <w:rPr>
          <w:rFonts w:asciiTheme="majorBidi" w:hAnsiTheme="majorBidi" w:cstheme="majorBidi"/>
          <w:lang w:val="it-IT"/>
        </w:rPr>
        <w:t xml:space="preserve">che Iddio abbia misericordia di lui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- fu interrogato a proposito di coloro che lanciano appelli acché la Comunità (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Ummah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) sia coesa, vincolando tutti i sorgimenti lunari a quello di Mecca, allora rispose: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“Ciò risulta impossibile dal punto di vista astronomico, poiché il sorgimento della falce lunare crescente, come disse </w:t>
      </w:r>
      <w:r w:rsidRPr="002029D3">
        <w:rPr>
          <w:rFonts w:asciiTheme="majorBidi" w:hAnsiTheme="majorBidi" w:cstheme="majorBidi"/>
          <w:i/>
          <w:iCs/>
          <w:sz w:val="27"/>
          <w:szCs w:val="27"/>
          <w:u w:val="single"/>
          <w:lang w:val="it-IT"/>
        </w:rPr>
        <w:t>Sh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ay</w:t>
      </w:r>
      <w:r w:rsidRPr="002029D3">
        <w:rPr>
          <w:rFonts w:asciiTheme="majorBidi" w:hAnsiTheme="majorBidi" w:cstheme="majorBidi"/>
          <w:i/>
          <w:iCs/>
          <w:sz w:val="27"/>
          <w:szCs w:val="27"/>
          <w:u w:val="single"/>
          <w:lang w:val="it-IT"/>
        </w:rPr>
        <w:t>kh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 xml:space="preserve"> </w:t>
      </w:r>
      <w:r w:rsidR="00A66111">
        <w:rPr>
          <w:rFonts w:asciiTheme="majorBidi" w:hAnsiTheme="majorBidi" w:cstheme="majorBidi"/>
          <w:i/>
          <w:iCs/>
          <w:sz w:val="27"/>
          <w:szCs w:val="27"/>
          <w:lang w:val="it-IT"/>
        </w:rPr>
        <w:br/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Al-</w:t>
      </w:r>
      <w:r w:rsidR="007C408F" w:rsidRPr="007C408F">
        <w:rPr>
          <w:rFonts w:asciiTheme="majorBidi" w:hAnsiTheme="majorBidi" w:cstheme="majorBidi"/>
          <w:i/>
          <w:iCs/>
          <w:sz w:val="27"/>
          <w:szCs w:val="27"/>
          <w:lang w:val="it-IT"/>
        </w:rPr>
        <w:t>ʾ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Islām Ibn Taymiyyah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, differisce, a detta unanime degli scienziati esperti in questo campo. E poiché differisce, allora ogni paese deve avere il proprio ordinamento sia alla luce della prova testuale (religiosa) che di quella empirica.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La prova testuale sta nel versetto in cui Iddio dice: </w:t>
      </w:r>
      <w:r w:rsidRPr="002029D3">
        <w:rPr>
          <w:rFonts w:asciiTheme="majorBidi" w:hAnsiTheme="majorBidi" w:cstheme="majorBidi"/>
          <w:b/>
          <w:bCs/>
          <w:sz w:val="27"/>
          <w:szCs w:val="27"/>
          <w:lang w:val="it-IT"/>
        </w:rPr>
        <w:t>{[…] chi tra di voi avvisti [la falce de] il mese, allora che lo digiuni […]}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</w:t>
      </w:r>
      <w:r w:rsidRPr="00A66111">
        <w:rPr>
          <w:rFonts w:asciiTheme="majorBidi" w:hAnsiTheme="majorBidi" w:cstheme="majorBidi"/>
          <w:lang w:val="it-IT"/>
        </w:rPr>
        <w:t>[Al-Baqarah 2:185]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Se così accade che gente in regioni remote del pianeta non avvistino il mese – ossia la falce lunare crescente - mentre lo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lastRenderedPageBreak/>
        <w:t xml:space="preserve">avvistano la gente di Mecca, come potrebbe applicarsi il discorso di codesto versetto a coloro che non hanno avvistato il mese? </w:t>
      </w:r>
    </w:p>
    <w:p w:rsidR="00175A6E" w:rsidRPr="009254F0" w:rsidRDefault="00175A6E" w:rsidP="00FA127D">
      <w:pPr>
        <w:bidi w:val="0"/>
        <w:jc w:val="both"/>
        <w:rPr>
          <w:rFonts w:asciiTheme="majorBidi" w:hAnsiTheme="majorBidi" w:cstheme="majorBidi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Il Profeta</w:t>
      </w:r>
      <w:r w:rsidRPr="00A66111">
        <w:rPr>
          <w:rFonts w:ascii="Arial Unicode MS" w:eastAsia="Times New Roman" w:hAnsi="Arial Unicode MS" w:cs="Arial Unicode MS" w:hint="eastAsia"/>
          <w:color w:val="1D2129"/>
          <w:sz w:val="24"/>
          <w:szCs w:val="24"/>
          <w:rtl/>
        </w:rPr>
        <w:t>ﷺ</w:t>
      </w:r>
      <w:r w:rsidRPr="00A66111">
        <w:rPr>
          <w:rFonts w:asciiTheme="majorBidi" w:hAnsiTheme="majorBidi" w:cstheme="majorBidi"/>
          <w:sz w:val="27"/>
          <w:szCs w:val="27"/>
          <w:rtl/>
          <w:lang w:val="it-IT"/>
        </w:rPr>
        <w:t xml:space="preserve"> </w:t>
      </w:r>
      <w:r w:rsidR="00A66111" w:rsidRPr="00A66111">
        <w:rPr>
          <w:rFonts w:asciiTheme="majorBidi" w:hAnsiTheme="majorBidi" w:cstheme="majorBidi"/>
          <w:sz w:val="27"/>
          <w:szCs w:val="27"/>
          <w:lang w:val="it-IT"/>
        </w:rPr>
        <w:t xml:space="preserve">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disse: “</w:t>
      </w:r>
      <w:r w:rsidRPr="002029D3">
        <w:rPr>
          <w:rFonts w:asciiTheme="majorBidi" w:hAnsiTheme="majorBidi" w:cstheme="majorBidi"/>
          <w:b/>
          <w:bCs/>
          <w:i/>
          <w:iCs/>
          <w:sz w:val="27"/>
          <w:szCs w:val="27"/>
          <w:lang w:val="it-IT"/>
        </w:rPr>
        <w:t>Digiunate al suo avvistamento e interrompete al suo avvistamento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” </w:t>
      </w:r>
      <w:r w:rsidRPr="009254F0">
        <w:rPr>
          <w:rFonts w:asciiTheme="majorBidi" w:hAnsiTheme="majorBidi" w:cstheme="majorBidi"/>
          <w:lang w:val="it-IT"/>
        </w:rPr>
        <w:t>[Di comune accordo]</w:t>
      </w:r>
      <w:r w:rsidR="009254F0">
        <w:rPr>
          <w:rFonts w:asciiTheme="majorBidi" w:hAnsiTheme="majorBidi" w:cstheme="majorBidi"/>
          <w:lang w:val="it-IT"/>
        </w:rPr>
        <w:t>.</w:t>
      </w:r>
    </w:p>
    <w:p w:rsidR="00175A6E" w:rsidRPr="002029D3" w:rsidRDefault="00175A6E" w:rsidP="00FA127D">
      <w:pPr>
        <w:bidi w:val="0"/>
        <w:spacing w:after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Così se la gente di Mecca, per esempio, l’avvista, allora come possiamo pretendere che la gente del Pakistan e di paesi ancora più a oriente digiuni quando sappiamo che la falce lunare crescente (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Al-Hilāl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) non è ancora apparsa nel loro orizzonte e il Profeta </w:t>
      </w:r>
      <w:r w:rsidRPr="002029D3">
        <w:rPr>
          <w:rFonts w:ascii="Arial Unicode MS" w:eastAsia="Times New Roman" w:hAnsi="Arial Unicode MS" w:cs="Arial Unicode MS" w:hint="eastAsia"/>
          <w:color w:val="1D2129"/>
          <w:sz w:val="27"/>
          <w:szCs w:val="27"/>
          <w:rtl/>
        </w:rPr>
        <w:t>ﷺ</w:t>
      </w:r>
      <w:r w:rsidRPr="002029D3">
        <w:rPr>
          <w:rFonts w:asciiTheme="majorBidi" w:eastAsia="Times New Roman" w:hAnsiTheme="majorBidi" w:cstheme="majorBidi"/>
          <w:color w:val="1D2129"/>
          <w:sz w:val="27"/>
          <w:szCs w:val="27"/>
          <w:rtl/>
        </w:rPr>
        <w:t xml:space="preserve"> </w:t>
      </w:r>
      <w:r w:rsidRPr="002029D3">
        <w:rPr>
          <w:rFonts w:asciiTheme="majorBidi" w:eastAsia="Times New Roman" w:hAnsiTheme="majorBidi" w:cstheme="majorBidi"/>
          <w:color w:val="1D2129"/>
          <w:sz w:val="27"/>
          <w:szCs w:val="27"/>
          <w:lang w:val="it-IT"/>
        </w:rPr>
        <w:t xml:space="preserve">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ha legato l’inizio del digiuno all’avvistamento?</w:t>
      </w:r>
    </w:p>
    <w:p w:rsidR="00175A6E" w:rsidRPr="002029D3" w:rsidRDefault="00175A6E" w:rsidP="00FA127D">
      <w:pPr>
        <w:bidi w:val="0"/>
        <w:spacing w:after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La prova empirica sta nella corretta analogia che non è possibile contraddire. Sappiamo che l’alba si manifesta nel versante orientale della terra prima che in quello occidentale; dunque se s’innalza l’alba nel versante orientale, dovremmo noi smettere di mangiare malgrado fosse ancora notte laddove ci troviamo? La risposta è no. Se il sole è tramontato nel versante orientale ma è ancora giorno laddove ci troviamo, è per noi lecito interrompere il digiuno? La risposta è no. Perciò 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Al-Hilāl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è esattamente al pari del sole, tranne che il tempo di 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Al-Hilāl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è a cadenza mensile mentre quello del sole è giornaliero, e Colui il Quale ha detto: </w:t>
      </w:r>
      <w:r w:rsidRPr="002029D3">
        <w:rPr>
          <w:rFonts w:asciiTheme="majorBidi" w:hAnsiTheme="majorBidi" w:cstheme="majorBidi"/>
          <w:b/>
          <w:bCs/>
          <w:sz w:val="27"/>
          <w:szCs w:val="27"/>
          <w:lang w:val="it-IT"/>
        </w:rPr>
        <w:t>{[…] e mangiate e bevete fino a che vi appaia distinto il filo bianco dal filo nero dell’alba, e poi portate a termine il digiuno fino a sera […]}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</w:t>
      </w:r>
      <w:r w:rsidRPr="009254F0">
        <w:rPr>
          <w:rFonts w:asciiTheme="majorBidi" w:hAnsiTheme="majorBidi" w:cstheme="majorBidi"/>
          <w:lang w:val="it-IT"/>
        </w:rPr>
        <w:t xml:space="preserve">[Al-Baqarah 2:187]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è anche Colui che ha detto: </w:t>
      </w:r>
      <w:r w:rsidRPr="002029D3">
        <w:rPr>
          <w:rFonts w:asciiTheme="majorBidi" w:hAnsiTheme="majorBidi" w:cstheme="majorBidi"/>
          <w:b/>
          <w:bCs/>
          <w:sz w:val="27"/>
          <w:szCs w:val="27"/>
          <w:lang w:val="it-IT"/>
        </w:rPr>
        <w:t>{[…] chi tra di voi avvisti [la falce lunare de] il mese, allora che lo digiuni […]}</w:t>
      </w:r>
      <w:r w:rsidRPr="009254F0">
        <w:rPr>
          <w:rFonts w:asciiTheme="majorBidi" w:hAnsiTheme="majorBidi" w:cstheme="majorBidi"/>
          <w:lang w:val="it-IT"/>
        </w:rPr>
        <w:t>[Al-Baqarah 2:185]</w:t>
      </w:r>
      <w:r w:rsidR="009254F0">
        <w:rPr>
          <w:rFonts w:asciiTheme="majorBidi" w:hAnsiTheme="majorBidi" w:cstheme="majorBidi"/>
          <w:lang w:val="it-IT"/>
        </w:rPr>
        <w:t>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Dunque, alla luce della prova testuale (religiosa) ed empirica, dobbiamo stabilire un ordinamento a sé per ciascun luogo per ciò che riguarda il digiuno e l’interruzione, e ciò dev’essere legato al segno sensibile che Iddio ha descritto nel Suo Libro e il Suo Profeta Muhammad</w:t>
      </w:r>
      <w:r w:rsidRPr="002029D3">
        <w:rPr>
          <w:rFonts w:ascii="Arial Unicode MS" w:eastAsia="Times New Roman" w:hAnsi="Arial Unicode MS" w:cs="Arial Unicode MS" w:hint="eastAsia"/>
          <w:color w:val="1D2129"/>
          <w:sz w:val="27"/>
          <w:szCs w:val="27"/>
          <w:rtl/>
        </w:rPr>
        <w:t>ﷺ</w:t>
      </w:r>
      <w:r w:rsidRPr="002029D3">
        <w:rPr>
          <w:rFonts w:asciiTheme="majorBidi" w:eastAsia="Times New Roman" w:hAnsiTheme="majorBidi" w:cstheme="majorBidi"/>
          <w:color w:val="1D2129"/>
          <w:sz w:val="27"/>
          <w:szCs w:val="27"/>
          <w:rtl/>
        </w:rPr>
        <w:t xml:space="preserve"> </w:t>
      </w:r>
      <w:r w:rsidRPr="002029D3">
        <w:rPr>
          <w:rFonts w:asciiTheme="majorBidi" w:eastAsia="Times New Roman" w:hAnsiTheme="majorBidi" w:cstheme="majorBidi"/>
          <w:color w:val="1D2129"/>
          <w:sz w:val="27"/>
          <w:szCs w:val="27"/>
          <w:lang w:val="it-IT"/>
        </w:rPr>
        <w:t xml:space="preserve">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nella sua Consuetudine (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Sunnah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), ovvero rispettivamente l’avvistamento della luna e quello del sole, ovvero l’alba.</w:t>
      </w:r>
    </w:p>
    <w:p w:rsidR="00175A6E" w:rsidRPr="009254F0" w:rsidRDefault="00175A6E" w:rsidP="00FA127D">
      <w:pPr>
        <w:bidi w:val="0"/>
        <w:jc w:val="both"/>
        <w:rPr>
          <w:rFonts w:asciiTheme="majorBidi" w:hAnsiTheme="majorBidi" w:cstheme="majorBidi"/>
          <w:lang w:val="it-IT"/>
        </w:rPr>
      </w:pPr>
      <w:r w:rsidRPr="009254F0">
        <w:rPr>
          <w:rFonts w:asciiTheme="majorBidi" w:hAnsiTheme="majorBidi" w:cstheme="majorBidi"/>
          <w:lang w:val="it-IT"/>
        </w:rPr>
        <w:t>[Fine della citazione da “</w:t>
      </w:r>
      <w:r w:rsidRPr="009254F0">
        <w:rPr>
          <w:rFonts w:asciiTheme="majorBidi" w:hAnsiTheme="majorBidi" w:cstheme="majorBidi"/>
          <w:i/>
          <w:iCs/>
          <w:lang w:val="it-IT"/>
        </w:rPr>
        <w:t>Fatāwā Arkān Al-</w:t>
      </w:r>
      <w:r w:rsidR="007C408F" w:rsidRPr="007C408F">
        <w:rPr>
          <w:rFonts w:asciiTheme="majorBidi" w:hAnsiTheme="majorBidi" w:cstheme="majorBidi"/>
          <w:i/>
          <w:iCs/>
          <w:lang w:val="it-IT"/>
        </w:rPr>
        <w:t>ʾ</w:t>
      </w:r>
      <w:r w:rsidRPr="009254F0">
        <w:rPr>
          <w:rFonts w:asciiTheme="majorBidi" w:hAnsiTheme="majorBidi" w:cstheme="majorBidi"/>
          <w:i/>
          <w:iCs/>
          <w:lang w:val="it-IT"/>
        </w:rPr>
        <w:t>Islām</w:t>
      </w:r>
      <w:r w:rsidRPr="009254F0">
        <w:rPr>
          <w:rFonts w:asciiTheme="majorBidi" w:hAnsiTheme="majorBidi" w:cstheme="majorBidi"/>
          <w:lang w:val="it-IT"/>
        </w:rPr>
        <w:t>” (pag.451)]</w:t>
      </w:r>
      <w:r w:rsidR="009254F0">
        <w:rPr>
          <w:rFonts w:asciiTheme="majorBidi" w:hAnsiTheme="majorBidi" w:cstheme="majorBidi"/>
          <w:lang w:val="it-IT"/>
        </w:rPr>
        <w:t>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lastRenderedPageBreak/>
        <w:t xml:space="preserve">E disse inoltre – </w:t>
      </w:r>
      <w:r w:rsidRPr="0014696A">
        <w:rPr>
          <w:rFonts w:asciiTheme="majorBidi" w:hAnsiTheme="majorBidi" w:cstheme="majorBidi"/>
          <w:lang w:val="it-IT"/>
        </w:rPr>
        <w:t xml:space="preserve">che Iddio abbia di lui misericordia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- chiarificando codesta analogia e appoggiando tramite di essa l’argomentazione di coloro che prendono in considerazione la differenza nel sorgimento:</w:t>
      </w:r>
    </w:p>
    <w:p w:rsidR="00175A6E" w:rsidRPr="002029D3" w:rsidRDefault="00175A6E" w:rsidP="00FA127D">
      <w:pPr>
        <w:bidi w:val="0"/>
        <w:spacing w:after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“Hanno detto: l’orario mensile è come l’orario giornaliero e così, come i paesi differiscono quanto al principio e al termine del digiuno giornaliero, allo stesso modo devono differire quanto al principio e al termine del digiuno mensile, ed è risaputo all’unanimità dai musulmani che la differenza negli orari giornalieri ha i suoi effetti: quelli ad oriente iniziano a digiunare prima di quelli a occidente, e allo stesso modo rompono prima il digiuno.</w:t>
      </w:r>
    </w:p>
    <w:p w:rsidR="00175A6E" w:rsidRPr="002029D3" w:rsidRDefault="00175A6E" w:rsidP="00FA127D">
      <w:pPr>
        <w:bidi w:val="0"/>
        <w:spacing w:after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Quindi, se giudichiamo secondo le differenze di sorgimento negli orari giornalieri, allora lo stesso vale anche per quelli mensili.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E nessuno può sostenere che il versetto: </w:t>
      </w:r>
      <w:r w:rsidRPr="002029D3">
        <w:rPr>
          <w:rFonts w:asciiTheme="majorBidi" w:hAnsiTheme="majorBidi" w:cstheme="majorBidi"/>
          <w:b/>
          <w:bCs/>
          <w:sz w:val="27"/>
          <w:szCs w:val="27"/>
          <w:lang w:val="it-IT"/>
        </w:rPr>
        <w:t xml:space="preserve">{[…] e mangiate e bevete fino a che vi appaia distinto il filo bianco dal filo nero dell’alba, e poi portate a termine il digiuno fino a sera […]}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e le parole del Profeta</w:t>
      </w:r>
      <w:r w:rsidRPr="002029D3">
        <w:rPr>
          <w:rFonts w:ascii="Arial Unicode MS" w:eastAsia="Times New Roman" w:hAnsi="Arial Unicode MS" w:cs="Arial Unicode MS" w:hint="eastAsia"/>
          <w:color w:val="1D2129"/>
          <w:sz w:val="27"/>
          <w:szCs w:val="27"/>
          <w:rtl/>
        </w:rPr>
        <w:t>ﷺ</w:t>
      </w:r>
      <w:r w:rsidRPr="002029D3">
        <w:rPr>
          <w:rFonts w:asciiTheme="majorBidi" w:eastAsia="Times New Roman" w:hAnsiTheme="majorBidi" w:cstheme="majorBidi"/>
          <w:color w:val="1D2129"/>
          <w:sz w:val="27"/>
          <w:szCs w:val="27"/>
          <w:rtl/>
        </w:rPr>
        <w:t xml:space="preserve"> 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“</w:t>
      </w:r>
      <w:r w:rsidRPr="002029D3">
        <w:rPr>
          <w:rFonts w:asciiTheme="majorBidi" w:hAnsiTheme="majorBidi" w:cstheme="majorBidi"/>
          <w:b/>
          <w:bCs/>
          <w:i/>
          <w:iCs/>
          <w:sz w:val="27"/>
          <w:szCs w:val="27"/>
          <w:lang w:val="it-IT"/>
        </w:rPr>
        <w:t>Quando la notte è qui sopraggiunta e il giorno si è allontanato da qui e il sole è tramontato, allora il digiunante interrompe [il digiuno]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” sono onnicomprensive nel significato e applicabili a tutti i musulmani in ogni regione.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Lo stesso diciamo riguardo la generalità del detto di Lui, l’Elevato: </w:t>
      </w:r>
      <w:r w:rsidRPr="002029D3">
        <w:rPr>
          <w:rFonts w:asciiTheme="majorBidi" w:hAnsiTheme="majorBidi" w:cstheme="majorBidi"/>
          <w:b/>
          <w:bCs/>
          <w:sz w:val="27"/>
          <w:szCs w:val="27"/>
          <w:lang w:val="it-IT"/>
        </w:rPr>
        <w:t>{[…] chi tra di voi avvisti [la falce lunare de] il mese, allora che lo digiuni […]}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e delle parole del Profeta </w:t>
      </w:r>
      <w:r w:rsidRPr="002029D3">
        <w:rPr>
          <w:rFonts w:ascii="Arial Unicode MS" w:eastAsia="Times New Roman" w:hAnsi="Arial Unicode MS" w:cs="Arial Unicode MS" w:hint="eastAsia"/>
          <w:color w:val="1D2129"/>
          <w:sz w:val="27"/>
          <w:szCs w:val="27"/>
          <w:rtl/>
        </w:rPr>
        <w:t>ﷺ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“</w:t>
      </w:r>
      <w:r w:rsidRPr="002029D3">
        <w:rPr>
          <w:rFonts w:asciiTheme="majorBidi" w:hAnsiTheme="majorBidi" w:cstheme="majorBidi"/>
          <w:b/>
          <w:bCs/>
          <w:i/>
          <w:iCs/>
          <w:sz w:val="27"/>
          <w:szCs w:val="27"/>
          <w:lang w:val="it-IT"/>
        </w:rPr>
        <w:t>Digiunate al suo avvistamento e interrompete al suo avvistamento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”. E come vedi, codesta opinione trova forza nella terminologia, nella giusta osservazione empirica, e altresì nella corretta analogia, ossia l’analogia tra l’orario mensile e l’orario giornaliero.</w:t>
      </w:r>
    </w:p>
    <w:p w:rsidR="00175A6E" w:rsidRPr="00DD5CD9" w:rsidRDefault="00175A6E" w:rsidP="00EA0E7E">
      <w:pPr>
        <w:bidi w:val="0"/>
        <w:jc w:val="both"/>
        <w:rPr>
          <w:rFonts w:asciiTheme="majorBidi" w:hAnsiTheme="majorBidi" w:cstheme="majorBidi"/>
          <w:lang w:val="it-IT"/>
        </w:rPr>
      </w:pPr>
      <w:r w:rsidRPr="00DD5CD9">
        <w:rPr>
          <w:rFonts w:asciiTheme="majorBidi" w:hAnsiTheme="majorBidi" w:cstheme="majorBidi"/>
          <w:lang w:val="it-IT"/>
        </w:rPr>
        <w:t>[Fine citazione da “</w:t>
      </w:r>
      <w:r w:rsidRPr="00DD5CD9">
        <w:rPr>
          <w:rFonts w:asciiTheme="majorBidi" w:hAnsiTheme="majorBidi" w:cstheme="majorBidi"/>
          <w:i/>
          <w:iCs/>
          <w:lang w:val="it-IT"/>
        </w:rPr>
        <w:t>Fatāwā Ramaḑān</w:t>
      </w:r>
      <w:r w:rsidRPr="00DD5CD9">
        <w:rPr>
          <w:rFonts w:asciiTheme="majorBidi" w:hAnsiTheme="majorBidi" w:cstheme="majorBidi"/>
          <w:lang w:val="it-IT"/>
        </w:rPr>
        <w:t xml:space="preserve">”, raccolta a cura di </w:t>
      </w:r>
      <w:r w:rsidR="00EA0E7E" w:rsidRPr="00EA0E7E">
        <w:rPr>
          <w:rFonts w:asciiTheme="majorBidi" w:hAnsiTheme="majorBidi" w:cstheme="majorBidi"/>
          <w:i/>
          <w:iCs/>
          <w:lang w:val="it-IT"/>
        </w:rPr>
        <w:t>ʿ</w:t>
      </w:r>
      <w:r w:rsidRPr="00DD5CD9">
        <w:rPr>
          <w:rFonts w:asciiTheme="majorBidi" w:hAnsiTheme="majorBidi" w:cstheme="majorBidi"/>
          <w:i/>
          <w:iCs/>
          <w:lang w:val="it-IT"/>
        </w:rPr>
        <w:t>Abdul-Maqşūd</w:t>
      </w:r>
      <w:r w:rsidRPr="00DD5CD9">
        <w:rPr>
          <w:rFonts w:asciiTheme="majorBidi" w:hAnsiTheme="majorBidi" w:cstheme="majorBidi"/>
          <w:lang w:val="it-IT"/>
        </w:rPr>
        <w:t xml:space="preserve"> (pag.104)]</w:t>
      </w:r>
      <w:r w:rsidR="00DD5CD9">
        <w:rPr>
          <w:rFonts w:asciiTheme="majorBidi" w:hAnsiTheme="majorBidi" w:cstheme="majorBidi"/>
          <w:lang w:val="it-IT"/>
        </w:rPr>
        <w:t>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DD5CD9">
        <w:rPr>
          <w:rFonts w:asciiTheme="majorBidi" w:hAnsiTheme="majorBidi" w:cstheme="majorBidi"/>
          <w:i/>
          <w:iCs/>
          <w:sz w:val="27"/>
          <w:szCs w:val="27"/>
          <w:lang w:val="it-IT"/>
        </w:rPr>
        <w:lastRenderedPageBreak/>
        <w:t>Il Consiglio dei Grandi Sapienti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ha emanato un’importante dichiarazione in materia, il cui testo è il seguente: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>“</w:t>
      </w:r>
      <w:r w:rsidRPr="002029D3">
        <w:rPr>
          <w:rFonts w:asciiTheme="majorBidi" w:hAnsiTheme="majorBidi" w:cstheme="majorBidi"/>
          <w:sz w:val="27"/>
          <w:szCs w:val="27"/>
          <w:u w:val="single"/>
          <w:lang w:val="it-IT"/>
        </w:rPr>
        <w:t>In primo luogo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la differenza nel sorgimento lunare è qualcosa di ben noto ai sensi e alla mente, e nessuno tra i sapienti è mai stato discorde a riguardo. Piuttosto, la differenza d’opinione sapienziale riguarda la presa in considerazione della differenza nel sorgimento lunare.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u w:val="single"/>
          <w:lang w:val="it-IT"/>
        </w:rPr>
        <w:t>In secondo luogo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la questione della presa in considerazione della differenza nel sorgimento lunare è materia speculativa che lascia spazio allo sforzo interpretativo (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ijtihād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), e il disaccordo a riguardo è avvenuto da parte di persone aventi rilevanza nella sapienza e nella religione, e rientra nella discordanza accettabile nella quale chi coglie [il giudizio corretto] ottiene doppia ricompensa, una per lo sforzo e l’altra per il coglimento, e chi si sbagli viene ricompensato per il suo sforzo.</w:t>
      </w:r>
    </w:p>
    <w:p w:rsidR="00FA127D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E i sapienti hanno differito riguardo tale questione con due opinioni: di loro v’è chi prende in considerazione la differenza nel sorgimento lunare e chi non la considera. Ciascuno dei due gruppi si appoggia su prove dal Corano e dalla 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Sunnah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, e talvolta si appogiano entrambe le parti sul medesimo testo, come quando entrambe si sono appoggiate sul detto di Lui l’Elevato: </w:t>
      </w:r>
      <w:r w:rsidRPr="002029D3">
        <w:rPr>
          <w:rFonts w:asciiTheme="majorBidi" w:hAnsiTheme="majorBidi" w:cstheme="majorBidi"/>
          <w:b/>
          <w:bCs/>
          <w:sz w:val="27"/>
          <w:szCs w:val="27"/>
          <w:lang w:val="it-IT"/>
        </w:rPr>
        <w:t>{Ti interrogano sulle falci lunari. Dì: “Sono riferimenti temporali per la gente e per il Pellegrinaggio […]”}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</w:t>
      </w:r>
      <w:r w:rsidR="00FA127D">
        <w:rPr>
          <w:rFonts w:asciiTheme="majorBidi" w:hAnsiTheme="majorBidi" w:cstheme="majorBidi"/>
          <w:sz w:val="27"/>
          <w:szCs w:val="27"/>
          <w:lang w:val="it-IT"/>
        </w:rPr>
        <w:br/>
      </w:r>
      <w:r w:rsidRPr="00DD5CD9">
        <w:rPr>
          <w:rFonts w:asciiTheme="majorBidi" w:hAnsiTheme="majorBidi" w:cstheme="majorBidi"/>
          <w:lang w:val="it-IT"/>
        </w:rPr>
        <w:t>[Al-Baqarah 2:189]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nonché sulle parole del Profeta </w:t>
      </w:r>
      <w:r w:rsidRPr="002029D3">
        <w:rPr>
          <w:rFonts w:ascii="Arial Unicode MS" w:eastAsia="Times New Roman" w:hAnsi="Arial Unicode MS" w:cs="Arial Unicode MS" w:hint="eastAsia"/>
          <w:color w:val="1D2129"/>
          <w:sz w:val="27"/>
          <w:szCs w:val="27"/>
          <w:rtl/>
        </w:rPr>
        <w:t>ﷺ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“</w:t>
      </w:r>
      <w:r w:rsidRPr="002029D3">
        <w:rPr>
          <w:rFonts w:asciiTheme="majorBidi" w:hAnsiTheme="majorBidi" w:cstheme="majorBidi"/>
          <w:b/>
          <w:bCs/>
          <w:i/>
          <w:iCs/>
          <w:sz w:val="27"/>
          <w:szCs w:val="27"/>
          <w:lang w:val="it-IT"/>
        </w:rPr>
        <w:t>Digiunate al suo avvistamento e interrompete al suo avvistamento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”. E ciò accade a causa della differenza di comprensione dei testi e della diversa metodologia di derivazione delle prove di ciascun gruppo a partire da questi.</w:t>
      </w:r>
    </w:p>
    <w:p w:rsidR="00FA127D" w:rsidRDefault="00FA127D">
      <w:pPr>
        <w:bidi w:val="0"/>
        <w:rPr>
          <w:rFonts w:asciiTheme="majorBidi" w:hAnsiTheme="majorBidi" w:cstheme="majorBidi"/>
          <w:sz w:val="27"/>
          <w:szCs w:val="27"/>
          <w:lang w:val="it-IT"/>
        </w:rPr>
      </w:pPr>
      <w:r>
        <w:rPr>
          <w:rFonts w:asciiTheme="majorBidi" w:hAnsiTheme="majorBidi" w:cstheme="majorBidi"/>
          <w:sz w:val="27"/>
          <w:szCs w:val="27"/>
          <w:lang w:val="it-IT"/>
        </w:rPr>
        <w:br w:type="page"/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lang w:val="it-IT"/>
        </w:rPr>
        <w:lastRenderedPageBreak/>
        <w:t>Sulla base delle considerazioni che il Consiglio ha visionato ed esaminato, e sulla base del fatto che la differenza d’opinione in materia non ha alcun effetto che potrebbe causare conseguenze sgradite, dal momento che sono trascorsi quattordici secoli da quando è apparsa questa religione e non abbiamo notizia di alcun periodo durante il quale la Comunità (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Ummah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) è stata coesa su un unico avvistamento, i membri del Consiglio dei Grandi Sapienti ritengono opportuna la permanenza della situazione così come è sempre stata e di evitare che venga fomentata questa questione. Ciascuno stato islamico ha diritto a scegliere ciò che ritiene più opportuno secondo i propri sapienti tra le due opinioni indicate in questa questione, poiché ciascuna di esse possiede le sue prove e la sua documentazione.</w:t>
      </w:r>
    </w:p>
    <w:p w:rsidR="00175A6E" w:rsidRPr="002029D3" w:rsidRDefault="00175A6E" w:rsidP="00EA0E7E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  <w:r w:rsidRPr="002029D3">
        <w:rPr>
          <w:rFonts w:asciiTheme="majorBidi" w:hAnsiTheme="majorBidi" w:cstheme="majorBidi"/>
          <w:sz w:val="27"/>
          <w:szCs w:val="27"/>
          <w:u w:val="single"/>
          <w:lang w:val="it-IT"/>
        </w:rPr>
        <w:t>In terzo luogo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il Consiglio ha esaminato la questione della comprovazione di</w:t>
      </w:r>
      <w:r w:rsidR="00EA0E7E">
        <w:rPr>
          <w:rFonts w:asciiTheme="majorBidi" w:hAnsiTheme="majorBidi" w:cstheme="majorBidi"/>
          <w:sz w:val="27"/>
          <w:szCs w:val="27"/>
          <w:lang w:val="it-IT"/>
        </w:rPr>
        <w:t xml:space="preserve"> 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Al-Hilāl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per mezzo del calcolo e ciò che è stato trasmesso nel Corano e nella </w:t>
      </w:r>
      <w:r w:rsidRPr="002029D3">
        <w:rPr>
          <w:rFonts w:asciiTheme="majorBidi" w:hAnsiTheme="majorBidi" w:cstheme="majorBidi"/>
          <w:i/>
          <w:iCs/>
          <w:sz w:val="27"/>
          <w:szCs w:val="27"/>
          <w:lang w:val="it-IT"/>
        </w:rPr>
        <w:t>Sunnah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 xml:space="preserve"> e hanno osservato i commenti della Gente della Sapienza su tale materia e hanno deciso all’unanimità per la non considerazione dei calcoli astronomici nella determinazione delle falce lunari crescenti in riferimento a questioni islamiche, per il detto suo </w:t>
      </w:r>
      <w:r w:rsidRPr="002029D3">
        <w:rPr>
          <w:rFonts w:ascii="Arial Unicode MS" w:eastAsia="Times New Roman" w:hAnsi="Arial Unicode MS" w:cs="Arial Unicode MS" w:hint="eastAsia"/>
          <w:color w:val="1D2129"/>
          <w:sz w:val="27"/>
          <w:szCs w:val="27"/>
          <w:rtl/>
        </w:rPr>
        <w:t>ﷺ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: “</w:t>
      </w:r>
      <w:r w:rsidRPr="002029D3">
        <w:rPr>
          <w:rFonts w:asciiTheme="majorBidi" w:hAnsiTheme="majorBidi" w:cstheme="majorBidi"/>
          <w:b/>
          <w:bCs/>
          <w:i/>
          <w:iCs/>
          <w:sz w:val="27"/>
          <w:szCs w:val="27"/>
          <w:lang w:val="it-IT"/>
        </w:rPr>
        <w:t>Digiunate al suo avvistamento e interrompete al suo avvistamento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” e disse: “</w:t>
      </w:r>
      <w:r w:rsidRPr="002029D3">
        <w:rPr>
          <w:rFonts w:asciiTheme="majorBidi" w:hAnsiTheme="majorBidi" w:cstheme="majorBidi"/>
          <w:b/>
          <w:bCs/>
          <w:i/>
          <w:iCs/>
          <w:sz w:val="27"/>
          <w:szCs w:val="27"/>
          <w:lang w:val="it-IT"/>
        </w:rPr>
        <w:t>Non digiunate finché non l’abbiate avvistata, e non rompete [il digiuno] finché non l’abbiate avvistata</w:t>
      </w:r>
      <w:r w:rsidRPr="002029D3">
        <w:rPr>
          <w:rFonts w:asciiTheme="majorBidi" w:hAnsiTheme="majorBidi" w:cstheme="majorBidi"/>
          <w:sz w:val="27"/>
          <w:szCs w:val="27"/>
          <w:lang w:val="it-IT"/>
        </w:rPr>
        <w:t>” e per ciò tra le prove che ha questo significato.</w:t>
      </w:r>
    </w:p>
    <w:p w:rsidR="00175A6E" w:rsidRPr="00EA0E7E" w:rsidRDefault="00175A6E" w:rsidP="00A806E9">
      <w:pPr>
        <w:bidi w:val="0"/>
        <w:jc w:val="both"/>
        <w:rPr>
          <w:rFonts w:asciiTheme="majorBidi" w:hAnsiTheme="majorBidi" w:cstheme="majorBidi"/>
          <w:lang w:val="it-IT"/>
        </w:rPr>
      </w:pPr>
      <w:r w:rsidRPr="00EA0E7E">
        <w:rPr>
          <w:rFonts w:asciiTheme="majorBidi" w:hAnsiTheme="majorBidi" w:cstheme="majorBidi"/>
          <w:lang w:val="it-IT"/>
        </w:rPr>
        <w:t>[Fine della citazione da “</w:t>
      </w:r>
      <w:r w:rsidRPr="00EA0E7E">
        <w:rPr>
          <w:rFonts w:asciiTheme="majorBidi" w:hAnsiTheme="majorBidi" w:cstheme="majorBidi"/>
          <w:i/>
          <w:iCs/>
          <w:lang w:val="it-IT"/>
        </w:rPr>
        <w:t>Fatāwā Al-Lajnah Ad-Dā</w:t>
      </w:r>
      <w:r w:rsidR="00A806E9" w:rsidRPr="00A806E9">
        <w:rPr>
          <w:rFonts w:ascii="Helvetica" w:hAnsi="Helvetica" w:cs="Helvetica"/>
          <w:b/>
          <w:bCs/>
          <w:i/>
          <w:iCs/>
          <w:color w:val="222222"/>
          <w:sz w:val="23"/>
          <w:szCs w:val="23"/>
          <w:bdr w:val="none" w:sz="0" w:space="0" w:color="auto" w:frame="1"/>
          <w:shd w:val="clear" w:color="auto" w:fill="FFFFFF"/>
        </w:rPr>
        <w:t>ʾ</w:t>
      </w:r>
      <w:r w:rsidRPr="00EA0E7E">
        <w:rPr>
          <w:rFonts w:asciiTheme="majorBidi" w:hAnsiTheme="majorBidi" w:cstheme="majorBidi"/>
          <w:i/>
          <w:iCs/>
          <w:lang w:val="it-IT"/>
        </w:rPr>
        <w:t>imah</w:t>
      </w:r>
      <w:r w:rsidRPr="00EA0E7E">
        <w:rPr>
          <w:rFonts w:asciiTheme="majorBidi" w:hAnsiTheme="majorBidi" w:cstheme="majorBidi"/>
          <w:lang w:val="it-IT"/>
        </w:rPr>
        <w:t>” (10/102)]</w:t>
      </w:r>
    </w:p>
    <w:p w:rsidR="00175A6E" w:rsidRPr="002029D3" w:rsidRDefault="00175A6E" w:rsidP="00FA127D">
      <w:pPr>
        <w:bidi w:val="0"/>
        <w:jc w:val="both"/>
        <w:rPr>
          <w:rFonts w:asciiTheme="majorBidi" w:hAnsiTheme="majorBidi" w:cstheme="majorBidi"/>
          <w:sz w:val="27"/>
          <w:szCs w:val="27"/>
          <w:lang w:val="it-IT"/>
        </w:rPr>
      </w:pPr>
    </w:p>
    <w:p w:rsidR="00C729E9" w:rsidRPr="002029D3" w:rsidRDefault="00175A6E" w:rsidP="00FA127D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7"/>
          <w:szCs w:val="27"/>
          <w:lang w:val="it-IT" w:eastAsia="zh-CN" w:bidi="ar-SY"/>
        </w:rPr>
      </w:pPr>
      <w:r w:rsidRPr="002029D3">
        <w:rPr>
          <w:rFonts w:asciiTheme="majorBidi" w:eastAsia="Verdana" w:hAnsiTheme="majorBidi" w:cstheme="majorBidi"/>
          <w:i/>
          <w:iCs/>
          <w:sz w:val="27"/>
          <w:szCs w:val="27"/>
          <w:lang w:eastAsia="zh-CN" w:bidi="ar-SY"/>
        </w:rPr>
        <w:t>Isl</w:t>
      </w:r>
      <w:r w:rsidRPr="002029D3">
        <w:rPr>
          <w:rFonts w:asciiTheme="majorBidi" w:hAnsiTheme="majorBidi" w:cstheme="majorBidi"/>
          <w:i/>
          <w:iCs/>
          <w:sz w:val="27"/>
          <w:szCs w:val="27"/>
        </w:rPr>
        <w:t>ā</w:t>
      </w:r>
      <w:r w:rsidRPr="002029D3">
        <w:rPr>
          <w:rFonts w:asciiTheme="majorBidi" w:eastAsia="Verdana" w:hAnsiTheme="majorBidi" w:cstheme="majorBidi"/>
          <w:i/>
          <w:iCs/>
          <w:sz w:val="27"/>
          <w:szCs w:val="27"/>
          <w:lang w:eastAsia="zh-CN" w:bidi="ar-SY"/>
        </w:rPr>
        <w:t>m Q&amp;A</w:t>
      </w:r>
    </w:p>
    <w:sectPr w:rsidR="00C729E9" w:rsidRPr="002029D3" w:rsidSect="00CF6C11">
      <w:headerReference w:type="even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539" w:rsidRDefault="00CA6539" w:rsidP="00E32771">
      <w:pPr>
        <w:spacing w:after="0" w:line="240" w:lineRule="auto"/>
      </w:pPr>
      <w:r>
        <w:separator/>
      </w:r>
    </w:p>
  </w:endnote>
  <w:endnote w:type="continuationSeparator" w:id="0">
    <w:p w:rsidR="00CA6539" w:rsidRDefault="00CA653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54C22FE-40E8-4430-BD34-DEFFCEE72F80}"/>
    <w:embedBold r:id="rId2" w:fontKey="{FF6B14E4-5984-4421-AF69-F0C5F2DDA301}"/>
    <w:embedItalic r:id="rId3" w:fontKey="{CD0712A3-22F0-4476-9F17-351201AFD89B}"/>
    <w:embedBoldItalic r:id="rId4" w:fontKey="{A7A08D58-740C-4E95-B711-D526C73A30B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CD724C68-06D4-4749-84ED-C927D5CB025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C02AFE3C-2BAB-415E-945C-71F805265ECE}"/>
    <w:embedBold r:id="rId7" w:fontKey="{4F3E9D64-FE3C-4C78-A2D1-44754E749D9E}"/>
    <w:embedItalic r:id="rId8" w:fontKey="{ADF101E1-599A-424D-B421-DCA73F5C7E69}"/>
    <w:embedBoldItalic r:id="rId9" w:fontKey="{7DE73FBA-C7D9-41D7-B606-06B1C526552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AFA1B1E1-30C4-4C89-AB46-7AB6625BF2EF}"/>
    <w:embedBold r:id="rId11" w:fontKey="{107F42F0-1D61-4C6B-B5D6-BDA08265FDDD}"/>
  </w:font>
  <w:font w:name="Goudy Old Style">
    <w:panose1 w:val="02020602050305090303"/>
    <w:charset w:val="00"/>
    <w:family w:val="roman"/>
    <w:pitch w:val="variable"/>
    <w:sig w:usb0="00000007" w:usb1="00000000" w:usb2="00000000" w:usb3="00000000" w:csb0="00000003" w:csb1="00000000"/>
    <w:embedRegular r:id="rId12" w:fontKey="{E2424AFD-F9F4-46F9-BC93-5E1B59E039F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87CC14A1-BA8A-4779-BAD7-67C71DAA86C3}"/>
    <w:embedItalic r:id="rId14" w:fontKey="{B82B9669-0096-4F98-97ED-D6854C1419D7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C01DD405-2628-4548-A8B0-845984A752F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14778FCE-881D-439D-A681-C0C89C98FF8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7" w:subsetted="1" w:fontKey="{6834A15A-E2DB-44CE-8E46-67B7C92B8D2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3EF029A3-9417-4472-BD89-C1963272B931}"/>
    <w:embedBold r:id="rId19" w:fontKey="{45E0B458-D7B0-4DB7-BC85-DF1E5F564A8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1223517D-85E0-43DE-9A6A-369675070C01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02C2BCAC-A2AD-477B-81A4-B0C3C96D922A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22" w:fontKey="{154C6000-248D-401E-9BD8-7D2345984A3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3" w:fontKey="{0028EEAE-8693-4B00-A771-997AF0618F06}"/>
    <w:embedBold r:id="rId24" w:fontKey="{05BC43E7-C991-44DD-8D5C-3CD2622F652D}"/>
  </w:font>
  <w:font w:name="Adobe نسخ Medium">
    <w:altName w:val="Arial"/>
    <w:panose1 w:val="01010101010101010101"/>
    <w:charset w:val="00"/>
    <w:family w:val="modern"/>
    <w:notTrueType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Italic r:id="rId25" w:fontKey="{FB5D5CF9-29E5-4BF9-BF3B-1231CB5DA8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E49" w:rsidRPr="005426F6" w:rsidRDefault="00FD1E49" w:rsidP="005426F6">
        <w:pPr>
          <w:pStyle w:val="Footer"/>
          <w:jc w:val="center"/>
          <w:rPr>
            <w:sz w:val="24"/>
            <w:szCs w:val="24"/>
          </w:rPr>
        </w:pPr>
        <w:r w:rsidRPr="005426F6">
          <w:rPr>
            <w:sz w:val="28"/>
            <w:szCs w:val="28"/>
          </w:rPr>
          <w:fldChar w:fldCharType="begin"/>
        </w:r>
        <w:r w:rsidRPr="005426F6">
          <w:rPr>
            <w:sz w:val="28"/>
            <w:szCs w:val="28"/>
          </w:rPr>
          <w:instrText xml:space="preserve"> PAGE   \* MERGEFORMAT </w:instrText>
        </w:r>
        <w:r w:rsidRPr="005426F6">
          <w:rPr>
            <w:sz w:val="28"/>
            <w:szCs w:val="28"/>
          </w:rPr>
          <w:fldChar w:fldCharType="separate"/>
        </w:r>
        <w:r w:rsidR="0018103C">
          <w:rPr>
            <w:noProof/>
            <w:sz w:val="28"/>
            <w:szCs w:val="28"/>
            <w:rtl/>
          </w:rPr>
          <w:t>5</w:t>
        </w:r>
        <w:r w:rsidRPr="005426F6">
          <w:rPr>
            <w:noProof/>
            <w:sz w:val="28"/>
            <w:szCs w:val="28"/>
          </w:rPr>
          <w:fldChar w:fldCharType="end"/>
        </w:r>
      </w:p>
    </w:sdtContent>
  </w:sdt>
  <w:p w:rsidR="00FD1E49" w:rsidRDefault="00FD1E49" w:rsidP="006D26A1">
    <w:pPr>
      <w:pStyle w:val="Footer"/>
      <w:tabs>
        <w:tab w:val="clear" w:pos="4153"/>
        <w:tab w:val="clear" w:pos="8306"/>
        <w:tab w:val="left" w:pos="3465"/>
        <w:tab w:val="left" w:pos="4449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539" w:rsidRDefault="00CA653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CA6539" w:rsidRDefault="00CA653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A6539" w:rsidRDefault="00CA6539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49" w:rsidRDefault="00FD1E4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7450F08" wp14:editId="2F5E8FEE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E49" w:rsidRPr="00B71399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19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49" w:rsidRPr="00A507EE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450F08" id="Group 7" o:spid="_x0000_s1026" style="position:absolute;left:0;text-align:left;margin-left:-12.1pt;margin-top:-23.7pt;width:339.75pt;height:28.95pt;z-index:25168076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" fillcolor="white [3201]" strokecolor="#385e66" strokeweight=".5pt">
                <v:textbox>
                  <w:txbxContent>
                    <w:p w:rsidR="00FD1E49" w:rsidRPr="00B71399" w:rsidRDefault="00FD1E49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<v:textbox>
                  <w:txbxContent>
                    <w:p w:rsidR="00FD1E49" w:rsidRPr="00A507EE" w:rsidRDefault="00FD1E49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49" w:rsidRDefault="00FD1E49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79744" behindDoc="0" locked="0" layoutInCell="1" allowOverlap="1" wp14:anchorId="59C47833" wp14:editId="61441517">
          <wp:simplePos x="0" y="0"/>
          <wp:positionH relativeFrom="column">
            <wp:posOffset>-549940</wp:posOffset>
          </wp:positionH>
          <wp:positionV relativeFrom="paragraph">
            <wp:posOffset>-171450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Dbn6DEtwMAAFQ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4696A"/>
    <w:rsid w:val="00171C08"/>
    <w:rsid w:val="00175A6E"/>
    <w:rsid w:val="0018103C"/>
    <w:rsid w:val="00184B62"/>
    <w:rsid w:val="00187D3B"/>
    <w:rsid w:val="001A0D79"/>
    <w:rsid w:val="001F4E86"/>
    <w:rsid w:val="002029D3"/>
    <w:rsid w:val="002219E3"/>
    <w:rsid w:val="00223B3B"/>
    <w:rsid w:val="0023307B"/>
    <w:rsid w:val="00244087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72A0D"/>
    <w:rsid w:val="003906F7"/>
    <w:rsid w:val="003A3CDC"/>
    <w:rsid w:val="003B0D47"/>
    <w:rsid w:val="003E1AC6"/>
    <w:rsid w:val="00447B55"/>
    <w:rsid w:val="004C1156"/>
    <w:rsid w:val="004C2827"/>
    <w:rsid w:val="004C2F52"/>
    <w:rsid w:val="004E2AD6"/>
    <w:rsid w:val="004E38A0"/>
    <w:rsid w:val="004E78EF"/>
    <w:rsid w:val="00556722"/>
    <w:rsid w:val="005666DC"/>
    <w:rsid w:val="00575281"/>
    <w:rsid w:val="0058544F"/>
    <w:rsid w:val="005A2707"/>
    <w:rsid w:val="005D3692"/>
    <w:rsid w:val="0060157E"/>
    <w:rsid w:val="00626D06"/>
    <w:rsid w:val="00662A2B"/>
    <w:rsid w:val="0069533C"/>
    <w:rsid w:val="006B4F4B"/>
    <w:rsid w:val="00705C71"/>
    <w:rsid w:val="00717FAE"/>
    <w:rsid w:val="00742BE0"/>
    <w:rsid w:val="0076729A"/>
    <w:rsid w:val="0077162A"/>
    <w:rsid w:val="0077680D"/>
    <w:rsid w:val="00790C62"/>
    <w:rsid w:val="007A33AB"/>
    <w:rsid w:val="007A373F"/>
    <w:rsid w:val="007C408F"/>
    <w:rsid w:val="007E1A8B"/>
    <w:rsid w:val="007E5889"/>
    <w:rsid w:val="007E5A5E"/>
    <w:rsid w:val="007E70EB"/>
    <w:rsid w:val="00814452"/>
    <w:rsid w:val="008210B3"/>
    <w:rsid w:val="00853076"/>
    <w:rsid w:val="00855E30"/>
    <w:rsid w:val="00866ECC"/>
    <w:rsid w:val="00885CFF"/>
    <w:rsid w:val="008A2F5F"/>
    <w:rsid w:val="008A5781"/>
    <w:rsid w:val="008A58B6"/>
    <w:rsid w:val="008B3703"/>
    <w:rsid w:val="008D70C8"/>
    <w:rsid w:val="008E2038"/>
    <w:rsid w:val="008F371A"/>
    <w:rsid w:val="0090385D"/>
    <w:rsid w:val="00910AF4"/>
    <w:rsid w:val="009124D1"/>
    <w:rsid w:val="009254F0"/>
    <w:rsid w:val="00944C90"/>
    <w:rsid w:val="009967F9"/>
    <w:rsid w:val="009C0BB3"/>
    <w:rsid w:val="009E56E8"/>
    <w:rsid w:val="00A021C5"/>
    <w:rsid w:val="00A052E1"/>
    <w:rsid w:val="00A0781B"/>
    <w:rsid w:val="00A26C77"/>
    <w:rsid w:val="00A507EE"/>
    <w:rsid w:val="00A61E5C"/>
    <w:rsid w:val="00A66111"/>
    <w:rsid w:val="00A806E9"/>
    <w:rsid w:val="00B04BE4"/>
    <w:rsid w:val="00B21534"/>
    <w:rsid w:val="00B3510F"/>
    <w:rsid w:val="00B50A3A"/>
    <w:rsid w:val="00B71399"/>
    <w:rsid w:val="00B820AA"/>
    <w:rsid w:val="00B820B2"/>
    <w:rsid w:val="00BA456F"/>
    <w:rsid w:val="00BD190F"/>
    <w:rsid w:val="00BF04A9"/>
    <w:rsid w:val="00C03201"/>
    <w:rsid w:val="00C10E38"/>
    <w:rsid w:val="00C31855"/>
    <w:rsid w:val="00C37C22"/>
    <w:rsid w:val="00C408EE"/>
    <w:rsid w:val="00C43254"/>
    <w:rsid w:val="00C729E9"/>
    <w:rsid w:val="00C72BD4"/>
    <w:rsid w:val="00CA5FDC"/>
    <w:rsid w:val="00CA6539"/>
    <w:rsid w:val="00CD4735"/>
    <w:rsid w:val="00CE6030"/>
    <w:rsid w:val="00CF693B"/>
    <w:rsid w:val="00CF6C11"/>
    <w:rsid w:val="00D06CFA"/>
    <w:rsid w:val="00D15CF7"/>
    <w:rsid w:val="00D2227B"/>
    <w:rsid w:val="00D40B1B"/>
    <w:rsid w:val="00D43F02"/>
    <w:rsid w:val="00D46176"/>
    <w:rsid w:val="00D63FB7"/>
    <w:rsid w:val="00D849A2"/>
    <w:rsid w:val="00D85A5F"/>
    <w:rsid w:val="00DA3EF4"/>
    <w:rsid w:val="00DA5D93"/>
    <w:rsid w:val="00DC6A8E"/>
    <w:rsid w:val="00DD5CD9"/>
    <w:rsid w:val="00DE5862"/>
    <w:rsid w:val="00E163A5"/>
    <w:rsid w:val="00E25D4B"/>
    <w:rsid w:val="00E32771"/>
    <w:rsid w:val="00E3745F"/>
    <w:rsid w:val="00E5682B"/>
    <w:rsid w:val="00E710AA"/>
    <w:rsid w:val="00EA0E7E"/>
    <w:rsid w:val="00EB6A67"/>
    <w:rsid w:val="00EE5A20"/>
    <w:rsid w:val="00EE70E3"/>
    <w:rsid w:val="00F2420A"/>
    <w:rsid w:val="00F2570D"/>
    <w:rsid w:val="00F3173B"/>
    <w:rsid w:val="00F80820"/>
    <w:rsid w:val="00FA127D"/>
    <w:rsid w:val="00FD1E49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1118F"/>
  <w15:docId w15:val="{A6853D52-F9C0-48CE-82EB-DE792251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49"/>
    <w:pPr>
      <w:ind w:left="720"/>
      <w:contextualSpacing/>
    </w:pPr>
  </w:style>
  <w:style w:type="paragraph" w:styleId="NoSpacing">
    <w:name w:val="No Spacing"/>
    <w:uiPriority w:val="1"/>
    <w:qFormat/>
    <w:rsid w:val="00CA5FDC"/>
    <w:pPr>
      <w:bidi/>
      <w:spacing w:after="0" w:line="240" w:lineRule="auto"/>
    </w:pPr>
  </w:style>
  <w:style w:type="paragraph" w:styleId="NormalWeb">
    <w:name w:val="Normal (Web)"/>
    <w:basedOn w:val="Normal"/>
    <w:rsid w:val="00CA5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8DCE-962D-4C27-88FC-08164910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1404</Words>
  <Characters>7443</Characters>
  <Application>Microsoft Office Word</Application>
  <DocSecurity>0</DocSecurity>
  <Lines>186</Lines>
  <Paragraphs>44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NOTTE DI METÀ SHA᾿BĀN NON DEVE ESSERE DESIGNATA PER L’ADORAZIONE</vt:lpstr>
      <vt:lpstr/>
    </vt:vector>
  </TitlesOfParts>
  <Manager/>
  <Company>islamhouse.com</Company>
  <LinksUpToDate>false</LinksUpToDate>
  <CharactersWithSpaces>8803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PERCHÈ I MUSULMANI NON SONO COESI NEL DIGIUNO?</dc:title>
  <dc:subject>PERCHÈ I MUSULMANI NON SONO COESI NEL DIGIUNO?</dc:subject>
  <dc:creator>Islām Q&amp;A</dc:creator>
  <cp:keywords>PERCHÈ I MUSULMANI NON SONO COESI NEL DIGIUNO?</cp:keywords>
  <dc:description>PERCHÈ I MUSULMANI NON SONO COESI NEL DIGIUNO?</dc:description>
  <cp:lastModifiedBy>elhashemy</cp:lastModifiedBy>
  <cp:revision>3</cp:revision>
  <cp:lastPrinted>2015-01-13T04:52:00Z</cp:lastPrinted>
  <dcterms:created xsi:type="dcterms:W3CDTF">2017-09-18T06:53:00Z</dcterms:created>
  <dcterms:modified xsi:type="dcterms:W3CDTF">2017-09-19T15:00:00Z</dcterms:modified>
  <cp:category/>
</cp:coreProperties>
</file>