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49" w:rsidRPr="006D26A1" w:rsidRDefault="00FD1E49" w:rsidP="00FD1E49">
      <w:pPr>
        <w:jc w:val="center"/>
        <w:rPr>
          <w:rFonts w:ascii="Gotham Narrow Book" w:hAnsi="Gotham Narrow Book"/>
          <w:sz w:val="64"/>
          <w:szCs w:val="64"/>
          <w:rtl/>
        </w:rPr>
      </w:pPr>
      <w:bookmarkStart w:id="0" w:name="_Hlk478904983"/>
      <w:bookmarkEnd w:id="0"/>
    </w:p>
    <w:p w:rsidR="00FD4024" w:rsidRPr="00AE6173" w:rsidRDefault="00FD4024" w:rsidP="00FD4024">
      <w:pPr>
        <w:bidi w:val="0"/>
        <w:spacing w:line="240" w:lineRule="auto"/>
        <w:jc w:val="center"/>
        <w:rPr>
          <w:rFonts w:asciiTheme="majorBidi" w:eastAsia="Verdana" w:hAnsiTheme="majorBidi" w:cstheme="majorBidi"/>
          <w:sz w:val="40"/>
          <w:szCs w:val="40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40"/>
          <w:szCs w:val="40"/>
          <w:lang w:val="it-IT" w:eastAsia="zh-CN" w:bidi="ar-SY"/>
        </w:rPr>
        <w:t xml:space="preserve">L’INTERDIZIONE DI DIGIUNARE NELLA SECONDA METÀ DI </w:t>
      </w:r>
      <w:r w:rsidRPr="00553A4B">
        <w:rPr>
          <w:rFonts w:asciiTheme="majorBidi" w:eastAsia="Verdana" w:hAnsiTheme="majorBidi" w:cstheme="majorBidi"/>
          <w:i/>
          <w:iCs/>
          <w:sz w:val="40"/>
          <w:szCs w:val="40"/>
          <w:u w:val="single"/>
          <w:lang w:val="it-IT" w:eastAsia="zh-CN" w:bidi="ar-SY"/>
        </w:rPr>
        <w:t>SH</w:t>
      </w:r>
      <w:r w:rsidRPr="00553A4B">
        <w:rPr>
          <w:rFonts w:asciiTheme="majorBidi" w:eastAsia="Verdana" w:hAnsiTheme="majorBidi" w:cstheme="majorBidi"/>
          <w:i/>
          <w:iCs/>
          <w:sz w:val="40"/>
          <w:szCs w:val="40"/>
          <w:lang w:val="it-IT" w:eastAsia="zh-CN" w:bidi="ar-SY"/>
        </w:rPr>
        <w:t>A</w:t>
      </w:r>
      <w:r w:rsidRPr="00553A4B">
        <w:rPr>
          <w:rFonts w:asciiTheme="majorBidi" w:eastAsia="Verdana" w:hAnsiTheme="majorBidi" w:cstheme="majorBidi"/>
          <w:i/>
          <w:iCs/>
          <w:sz w:val="40"/>
          <w:szCs w:val="40"/>
          <w:lang w:eastAsia="zh-CN" w:bidi="ar-SY"/>
        </w:rPr>
        <w:t>᾿</w:t>
      </w:r>
      <w:r w:rsidRPr="00553A4B">
        <w:rPr>
          <w:rFonts w:asciiTheme="majorBidi" w:eastAsia="Verdana" w:hAnsiTheme="majorBidi" w:cstheme="majorBidi"/>
          <w:i/>
          <w:iCs/>
          <w:sz w:val="40"/>
          <w:szCs w:val="40"/>
          <w:lang w:val="it-IT" w:eastAsia="zh-CN" w:bidi="ar-SY"/>
        </w:rPr>
        <w:t>BĀN</w:t>
      </w:r>
    </w:p>
    <w:p w:rsidR="00244087" w:rsidRPr="00AE6173" w:rsidRDefault="00244087" w:rsidP="00244087">
      <w:pPr>
        <w:tabs>
          <w:tab w:val="left" w:pos="753"/>
          <w:tab w:val="center" w:pos="3118"/>
        </w:tabs>
        <w:rPr>
          <w:rFonts w:asciiTheme="majorBidi" w:eastAsia="Verdana" w:hAnsiTheme="majorBidi" w:cstheme="majorBidi"/>
          <w:color w:val="800000"/>
          <w:sz w:val="28"/>
          <w:szCs w:val="28"/>
          <w:u w:val="single"/>
          <w:lang w:val="it-IT" w:eastAsia="zh-CN" w:bidi="ar-SY"/>
        </w:rPr>
      </w:pPr>
      <w:r w:rsidRPr="00C67DCB">
        <w:rPr>
          <w:rFonts w:ascii="Gotham Light" w:hAnsi="Gotham Light"/>
          <w:noProof/>
          <w:color w:val="5EA1A5"/>
          <w:sz w:val="144"/>
          <w:szCs w:val="144"/>
          <w:lang w:bidi="ta-IN"/>
        </w:rPr>
        <w:drawing>
          <wp:anchor distT="0" distB="0" distL="114300" distR="114300" simplePos="0" relativeHeight="251659264" behindDoc="0" locked="0" layoutInCell="1" allowOverlap="1" wp14:anchorId="612C324F" wp14:editId="7792F163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Pr="00AE6173" w:rsidRDefault="00FD1E49" w:rsidP="00FD1E49">
      <w:pPr>
        <w:tabs>
          <w:tab w:val="left" w:pos="753"/>
          <w:tab w:val="center" w:pos="3118"/>
        </w:tabs>
        <w:rPr>
          <w:rFonts w:ascii="Gotham Narrow Light" w:hAnsi="Gotham Narrow Light"/>
          <w:color w:val="5EA1A5"/>
          <w:sz w:val="58"/>
          <w:szCs w:val="96"/>
          <w:lang w:val="it-IT" w:bidi="ar-EG"/>
        </w:rPr>
      </w:pPr>
    </w:p>
    <w:p w:rsidR="00244087" w:rsidRPr="00244087" w:rsidRDefault="00AE6173" w:rsidP="00244087">
      <w:pPr>
        <w:spacing w:line="240" w:lineRule="auto"/>
        <w:jc w:val="center"/>
        <w:rPr>
          <w:rFonts w:asciiTheme="majorBidi" w:eastAsia="Verdana" w:hAnsiTheme="majorBidi" w:cstheme="majorBidi"/>
          <w:sz w:val="28"/>
          <w:szCs w:val="28"/>
          <w:lang w:eastAsia="zh-CN" w:bidi="ar-SY"/>
        </w:rPr>
      </w:pPr>
      <w:r>
        <w:rPr>
          <w:rFonts w:asciiTheme="majorBidi" w:eastAsia="Verdana" w:hAnsiTheme="majorBidi" w:cstheme="majorBidi"/>
          <w:sz w:val="28"/>
          <w:szCs w:val="28"/>
          <w:lang w:eastAsia="zh-CN" w:bidi="ar-SY"/>
        </w:rPr>
        <w:t>Islam Q&amp;A</w:t>
      </w:r>
    </w:p>
    <w:p w:rsidR="00FD1E49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rtl/>
          <w:lang w:bidi="ar-EG"/>
        </w:rPr>
      </w:pPr>
    </w:p>
    <w:p w:rsidR="00FD1E49" w:rsidRPr="006D26A1" w:rsidRDefault="007963AA" w:rsidP="00AE6173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  <w:r w:rsidRPr="00161D0F">
        <w:rPr>
          <w:rFonts w:asciiTheme="majorHAnsi" w:hAnsiTheme="majorHAnsi" w:cstheme="majorHAnsi"/>
          <w:sz w:val="32"/>
          <w:szCs w:val="32"/>
          <w:lang w:bidi="ar-EG"/>
        </w:rPr>
        <w:t>Traduzione</w:t>
      </w:r>
      <w:r w:rsidR="00FD1E49" w:rsidRPr="006D26A1">
        <w:rPr>
          <w:rFonts w:asciiTheme="majorHAnsi" w:hAnsiTheme="majorHAnsi" w:cstheme="majorHAnsi"/>
          <w:sz w:val="32"/>
          <w:szCs w:val="32"/>
          <w:lang w:bidi="ar-EG"/>
        </w:rPr>
        <w:t xml:space="preserve">: </w:t>
      </w:r>
      <w:r w:rsidR="00AE6173" w:rsidRPr="00AE6173">
        <w:rPr>
          <w:rFonts w:asciiTheme="majorHAnsi" w:hAnsiTheme="majorHAnsi" w:cstheme="majorHAnsi"/>
          <w:sz w:val="32"/>
          <w:szCs w:val="32"/>
          <w:lang w:bidi="ar-EG"/>
        </w:rPr>
        <w:t>Maria Pragliola</w:t>
      </w:r>
    </w:p>
    <w:p w:rsidR="00FD1E49" w:rsidRPr="006D26A1" w:rsidRDefault="007107D2" w:rsidP="00AE6173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  <w:r>
        <w:rPr>
          <w:rFonts w:asciiTheme="majorHAnsi" w:hAnsiTheme="majorHAnsi" w:cstheme="majorHAnsi"/>
          <w:sz w:val="32"/>
          <w:szCs w:val="32"/>
          <w:lang w:bidi="ar-EG"/>
        </w:rPr>
        <w:t>Revisione</w:t>
      </w:r>
      <w:bookmarkStart w:id="1" w:name="_GoBack"/>
      <w:bookmarkEnd w:id="1"/>
      <w:r w:rsidR="00FD1E49" w:rsidRPr="006D26A1">
        <w:rPr>
          <w:rFonts w:asciiTheme="majorHAnsi" w:hAnsiTheme="majorHAnsi" w:cstheme="majorHAnsi"/>
          <w:sz w:val="32"/>
          <w:szCs w:val="32"/>
          <w:lang w:bidi="ar-EG"/>
        </w:rPr>
        <w:t xml:space="preserve">: </w:t>
      </w:r>
      <w:r w:rsidR="00AE6173" w:rsidRPr="00AE6173">
        <w:rPr>
          <w:rFonts w:asciiTheme="majorHAnsi" w:hAnsiTheme="majorHAnsi" w:cstheme="majorHAnsi"/>
          <w:sz w:val="32"/>
          <w:szCs w:val="32"/>
          <w:lang w:bidi="ar-EG"/>
        </w:rPr>
        <w:t>Rezk Mohamed A. Ismaeil</w:t>
      </w:r>
    </w:p>
    <w:p w:rsidR="00FD1E49" w:rsidRPr="006D26A1" w:rsidRDefault="00FD1E49" w:rsidP="00FD1E49">
      <w:pPr>
        <w:spacing w:line="240" w:lineRule="auto"/>
        <w:jc w:val="center"/>
        <w:rPr>
          <w:rFonts w:ascii="Gotham Narrow Book" w:hAnsi="Gotham Narrow Book"/>
          <w:sz w:val="62"/>
          <w:szCs w:val="72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 w:cs="Arial Unicode MS"/>
          <w:sz w:val="60"/>
          <w:szCs w:val="60"/>
          <w:rtl/>
        </w:rPr>
        <w:sectPr w:rsidR="00FD1E49" w:rsidSect="006D26A1">
          <w:headerReference w:type="even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454" w:gutter="0"/>
          <w:pgNumType w:start="0"/>
          <w:cols w:space="708"/>
          <w:titlePg/>
          <w:bidi/>
          <w:rtlGutter/>
          <w:docGrid w:linePitch="360"/>
        </w:sectPr>
      </w:pPr>
    </w:p>
    <w:p w:rsidR="00FD1E49" w:rsidRDefault="00FD1E49" w:rsidP="00FD1E49">
      <w:pPr>
        <w:spacing w:line="240" w:lineRule="auto"/>
        <w:jc w:val="center"/>
        <w:rPr>
          <w:rFonts w:ascii="ae_AlArabiya" w:hAnsi="ae_AlArabiya" w:cs="KFGQPC Uthman Taha Naskh"/>
          <w:b/>
          <w:bCs/>
          <w:sz w:val="42"/>
          <w:szCs w:val="48"/>
          <w:rtl/>
        </w:rPr>
      </w:pPr>
    </w:p>
    <w:p w:rsidR="00FD1E49" w:rsidRPr="00244087" w:rsidRDefault="00FD4024" w:rsidP="00FD1E49">
      <w:pPr>
        <w:spacing w:line="240" w:lineRule="auto"/>
        <w:jc w:val="center"/>
        <w:rPr>
          <w:rFonts w:ascii="Gotham Narrow Light" w:hAnsi="Gotham Narrow Light"/>
          <w:color w:val="5EA1A5"/>
          <w:sz w:val="14"/>
          <w:szCs w:val="14"/>
          <w:rtl/>
          <w:lang w:bidi="ar-EG"/>
        </w:rPr>
      </w:pPr>
      <w:r>
        <w:rPr>
          <w:rFonts w:ascii="ae_AlArabiya" w:hAnsi="ae_AlArabiya" w:cs="KFGQPC Uthman Taha Naskh" w:hint="cs"/>
          <w:b/>
          <w:bCs/>
          <w:sz w:val="42"/>
          <w:szCs w:val="48"/>
          <w:rtl/>
        </w:rPr>
        <w:t>النهي عن الصيام في النصف الثاني من شعبان</w:t>
      </w:r>
    </w:p>
    <w:p w:rsidR="00FD1E49" w:rsidRPr="006D26A1" w:rsidRDefault="008A58B6" w:rsidP="00FD1E49">
      <w:pPr>
        <w:jc w:val="center"/>
        <w:rPr>
          <w:rFonts w:ascii="Gotham Narrow Light" w:hAnsi="Gotham Narrow Light"/>
          <w:color w:val="5EA1A5"/>
          <w:sz w:val="14"/>
          <w:szCs w:val="14"/>
          <w:lang w:bidi="ar-EG"/>
        </w:rPr>
      </w:pPr>
      <w:r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(باللغة الإيطالية</w:t>
      </w:r>
      <w:r w:rsidR="00FD1E49" w:rsidRPr="006D26A1"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)</w:t>
      </w:r>
      <w:r w:rsidR="00FD1E49" w:rsidRPr="00853076">
        <w:rPr>
          <w:rFonts w:ascii="Gotham Light" w:hAnsi="Gotham Light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60288" behindDoc="0" locked="0" layoutInCell="1" allowOverlap="1" wp14:anchorId="5B436A5C" wp14:editId="44542DF4">
            <wp:simplePos x="0" y="0"/>
            <wp:positionH relativeFrom="margin">
              <wp:align>center</wp:align>
            </wp:positionH>
            <wp:positionV relativeFrom="paragraph">
              <wp:posOffset>537210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Default="00FD1E49" w:rsidP="00FD1E49">
      <w:pPr>
        <w:jc w:val="center"/>
        <w:rPr>
          <w:rFonts w:ascii="Adobe نسخ Medium" w:hAnsi="Adobe نسخ Medium" w:cs="Adobe نسخ Medium"/>
          <w:color w:val="205B83"/>
          <w:sz w:val="56"/>
          <w:szCs w:val="56"/>
          <w:rtl/>
          <w:lang w:bidi="ar-EG"/>
        </w:rPr>
      </w:pP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FD1E49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36"/>
          <w:szCs w:val="36"/>
          <w:rtl/>
        </w:rPr>
      </w:pPr>
      <w:bookmarkStart w:id="2" w:name="OLE_LINK1"/>
    </w:p>
    <w:p w:rsidR="00FD1E49" w:rsidRDefault="008A58B6" w:rsidP="00FD4024">
      <w:pPr>
        <w:spacing w:line="240" w:lineRule="auto"/>
        <w:jc w:val="center"/>
        <w:rPr>
          <w:rFonts w:asciiTheme="majorHAnsi" w:hAnsiTheme="majorHAnsi" w:cs="KFGQPC Uthman Taha Naskh"/>
          <w:sz w:val="28"/>
          <w:szCs w:val="28"/>
          <w:rtl/>
        </w:rPr>
      </w:pPr>
      <w:r w:rsidRPr="008A58B6">
        <w:rPr>
          <w:rFonts w:asciiTheme="majorHAnsi" w:hAnsiTheme="majorHAnsi" w:cs="KFGQPC Uthman Taha Naskh"/>
          <w:sz w:val="40"/>
          <w:szCs w:val="40"/>
          <w:rtl/>
          <w:lang w:bidi="ar-EG"/>
        </w:rPr>
        <w:t>الإسلام سؤال وجواب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FD4024" w:rsidRPr="006D26A1" w:rsidRDefault="00FD4024" w:rsidP="00FD4024">
      <w:pPr>
        <w:spacing w:line="240" w:lineRule="auto"/>
        <w:jc w:val="center"/>
        <w:rPr>
          <w:rFonts w:asciiTheme="majorHAnsi" w:hAnsiTheme="majorHAnsi" w:cs="KFGQPC Uthman Taha Naskh"/>
          <w:sz w:val="28"/>
          <w:szCs w:val="28"/>
          <w:rtl/>
        </w:rPr>
      </w:pPr>
    </w:p>
    <w:p w:rsidR="00FD1E49" w:rsidRPr="006D26A1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</w:rPr>
      </w:pPr>
    </w:p>
    <w:p w:rsidR="00FD1E49" w:rsidRPr="006D26A1" w:rsidRDefault="00FD1E49" w:rsidP="00AE6173">
      <w:pPr>
        <w:spacing w:line="240" w:lineRule="auto"/>
        <w:jc w:val="center"/>
        <w:rPr>
          <w:rFonts w:asciiTheme="majorHAnsi" w:hAnsiTheme="majorHAnsi" w:cs="KFGQPC Uthman Taha Naskh"/>
          <w:sz w:val="44"/>
          <w:szCs w:val="44"/>
          <w:rtl/>
        </w:rPr>
      </w:pPr>
      <w:r w:rsidRPr="006D26A1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ترجمة: </w:t>
      </w:r>
      <w:r w:rsidR="00AE6173" w:rsidRPr="00AE6173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ماريا</w:t>
      </w:r>
      <w:r w:rsidR="00AE6173" w:rsidRPr="00AE6173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AE6173" w:rsidRPr="00AE6173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براليولا</w:t>
      </w:r>
    </w:p>
    <w:p w:rsidR="00FD1E49" w:rsidRPr="006D26A1" w:rsidRDefault="00FD1E49" w:rsidP="00AE6173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  <w:lang w:bidi="ar-EG"/>
        </w:rPr>
      </w:pPr>
      <w:r w:rsidRPr="006D26A1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مراجعة: </w:t>
      </w:r>
      <w:r w:rsidR="00AE6173" w:rsidRPr="00AE6173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رزق</w:t>
      </w:r>
      <w:r w:rsidR="00AE6173" w:rsidRPr="00AE6173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AE6173" w:rsidRPr="00AE6173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محمد</w:t>
      </w:r>
      <w:r w:rsidR="00AE6173" w:rsidRPr="00AE6173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AE6173" w:rsidRPr="00AE6173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عبد</w:t>
      </w:r>
      <w:r w:rsidR="00AE6173" w:rsidRPr="00AE6173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AE6173" w:rsidRPr="00AE6173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المجيد</w:t>
      </w:r>
      <w:r w:rsidR="00AE6173" w:rsidRPr="00AE6173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AE6173" w:rsidRPr="00AE6173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إسماعيل</w:t>
      </w:r>
    </w:p>
    <w:bookmarkEnd w:id="2"/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lang w:bidi="ar-EG"/>
        </w:rPr>
      </w:pP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</w:p>
    <w:p w:rsidR="00FD1E49" w:rsidRPr="006D26A1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  <w:r>
        <w:rPr>
          <w:rFonts w:asciiTheme="majorHAnsi" w:hAnsiTheme="majorHAnsi" w:cs="KFGQPC Uthman Taha Naskh"/>
          <w:noProof/>
          <w:color w:val="205B83"/>
          <w:sz w:val="24"/>
          <w:szCs w:val="24"/>
          <w:lang w:bidi="ta-IN"/>
        </w:rPr>
        <w:drawing>
          <wp:anchor distT="0" distB="0" distL="114300" distR="114300" simplePos="0" relativeHeight="251661312" behindDoc="1" locked="0" layoutInCell="1" allowOverlap="1" wp14:anchorId="6C73BE02" wp14:editId="2F4D40CC">
            <wp:simplePos x="0" y="0"/>
            <wp:positionH relativeFrom="margin">
              <wp:posOffset>-311150</wp:posOffset>
            </wp:positionH>
            <wp:positionV relativeFrom="paragraph">
              <wp:posOffset>288290</wp:posOffset>
            </wp:positionV>
            <wp:extent cx="5051483" cy="1329690"/>
            <wp:effectExtent l="0" t="0" r="0" b="381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483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Pr="006D26A1" w:rsidRDefault="00FD1E49" w:rsidP="00FD1E49">
      <w:pPr>
        <w:tabs>
          <w:tab w:val="left" w:pos="2910"/>
        </w:tabs>
        <w:bidi w:val="0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</w:p>
    <w:p w:rsidR="00FD1E49" w:rsidRDefault="00FD1E49" w:rsidP="00FD1E49">
      <w:pPr>
        <w:tabs>
          <w:tab w:val="left" w:pos="2910"/>
        </w:tabs>
        <w:bidi w:val="0"/>
        <w:rPr>
          <w:rFonts w:ascii="Adobe نسخ Medium" w:hAnsi="Adobe نسخ Medium" w:cs="Adobe نسخ Medium"/>
          <w:color w:val="006666"/>
          <w:sz w:val="36"/>
          <w:szCs w:val="36"/>
          <w:lang w:bidi="ar-EG"/>
        </w:rPr>
      </w:pP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color w:val="800000"/>
          <w:sz w:val="28"/>
          <w:szCs w:val="28"/>
          <w:lang w:val="it-IT" w:eastAsia="zh-CN" w:bidi="ar-SY"/>
        </w:rPr>
      </w:pPr>
      <w:bookmarkStart w:id="3" w:name="_Hlk481656827"/>
      <w:r w:rsidRPr="00AE6173">
        <w:rPr>
          <w:rFonts w:asciiTheme="majorBidi" w:eastAsia="Verdana" w:hAnsiTheme="majorBidi" w:cstheme="majorBidi"/>
          <w:color w:val="800000"/>
          <w:sz w:val="28"/>
          <w:szCs w:val="28"/>
          <w:lang w:val="it-IT" w:eastAsia="zh-CN" w:bidi="ar-SY"/>
        </w:rPr>
        <w:t xml:space="preserve">L’INTERDIZIONE DI DIGIUNARE NELLA SECONDA METÀ DI </w:t>
      </w:r>
      <w:r w:rsidRPr="007A15F5">
        <w:rPr>
          <w:rFonts w:asciiTheme="majorBidi" w:eastAsia="Verdana" w:hAnsiTheme="majorBidi" w:cstheme="majorBidi"/>
          <w:i/>
          <w:iCs/>
          <w:color w:val="800000"/>
          <w:sz w:val="28"/>
          <w:szCs w:val="28"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color w:val="800000"/>
          <w:sz w:val="28"/>
          <w:szCs w:val="28"/>
          <w:lang w:val="it-IT" w:eastAsia="zh-CN" w:bidi="ar-SY"/>
        </w:rPr>
        <w:t>A</w:t>
      </w:r>
      <w:r>
        <w:rPr>
          <w:rFonts w:asciiTheme="majorBidi" w:eastAsia="Verdana" w:hAnsiTheme="majorBidi" w:cstheme="majorBidi"/>
          <w:i/>
          <w:iCs/>
          <w:color w:val="800000"/>
          <w:sz w:val="28"/>
          <w:szCs w:val="28"/>
          <w:lang w:eastAsia="zh-CN" w:bidi="ar-SY"/>
        </w:rPr>
        <w:t>᾿</w:t>
      </w:r>
      <w:r w:rsidRPr="00AE6173">
        <w:rPr>
          <w:rFonts w:asciiTheme="majorBidi" w:eastAsia="Verdana" w:hAnsiTheme="majorBidi" w:cstheme="majorBidi"/>
          <w:i/>
          <w:iCs/>
          <w:color w:val="800000"/>
          <w:sz w:val="28"/>
          <w:szCs w:val="28"/>
          <w:lang w:val="it-IT" w:eastAsia="zh-CN" w:bidi="ar-SY"/>
        </w:rPr>
        <w:t>BĀN</w:t>
      </w:r>
    </w:p>
    <w:p w:rsidR="00FD4024" w:rsidRDefault="00FD4024" w:rsidP="00AE6173">
      <w:pPr>
        <w:pStyle w:val="NormalWeb"/>
        <w:spacing w:after="240" w:afterAutospacing="0"/>
        <w:jc w:val="both"/>
        <w:rPr>
          <w:rFonts w:asciiTheme="majorBidi" w:hAnsiTheme="majorBidi" w:cstheme="majorBidi"/>
          <w:color w:val="008000"/>
          <w:sz w:val="28"/>
          <w:szCs w:val="28"/>
          <w:lang w:val="it-IT"/>
        </w:rPr>
      </w:pPr>
      <w:r>
        <w:rPr>
          <w:rFonts w:asciiTheme="majorBidi" w:hAnsiTheme="majorBidi" w:cstheme="majorBidi"/>
          <w:color w:val="008000"/>
          <w:sz w:val="28"/>
          <w:szCs w:val="28"/>
          <w:lang w:val="it-IT"/>
        </w:rPr>
        <w:t xml:space="preserve">Ѐ lecito digiunare dopo la metà di </w:t>
      </w:r>
      <w:r>
        <w:rPr>
          <w:rFonts w:asciiTheme="majorBidi" w:hAnsiTheme="majorBidi" w:cstheme="majorBidi"/>
          <w:i/>
          <w:iCs/>
          <w:color w:val="008000"/>
          <w:sz w:val="28"/>
          <w:szCs w:val="28"/>
          <w:u w:val="single"/>
          <w:lang w:val="it-IT"/>
        </w:rPr>
        <w:t>Sh</w:t>
      </w:r>
      <w:r>
        <w:rPr>
          <w:rFonts w:asciiTheme="majorBidi" w:hAnsiTheme="majorBidi" w:cstheme="majorBidi"/>
          <w:i/>
          <w:iCs/>
          <w:color w:val="008000"/>
          <w:sz w:val="28"/>
          <w:szCs w:val="28"/>
          <w:lang w:val="it-IT"/>
        </w:rPr>
        <w:t>a᾿bān</w:t>
      </w:r>
      <w:r>
        <w:rPr>
          <w:rFonts w:asciiTheme="majorBidi" w:hAnsiTheme="majorBidi" w:cstheme="majorBidi"/>
          <w:color w:val="008000"/>
          <w:sz w:val="28"/>
          <w:szCs w:val="28"/>
          <w:lang w:val="it-IT"/>
        </w:rPr>
        <w:t>? Perché ho sentito che il Profeta</w:t>
      </w:r>
      <w:r>
        <w:rPr>
          <w:rFonts w:ascii="Arial Unicode MS" w:hAnsi="Arial Unicode MS" w:cs="Arial Unicode MS" w:hint="eastAsia"/>
          <w:color w:val="008000"/>
          <w:sz w:val="28"/>
          <w:szCs w:val="28"/>
          <w:rtl/>
          <w:lang w:val="it-IT"/>
        </w:rPr>
        <w:t>ﷺ</w:t>
      </w:r>
      <w:r>
        <w:rPr>
          <w:rFonts w:asciiTheme="majorBidi" w:hAnsiTheme="majorBidi" w:cs="Arial Unicode MS" w:hint="cs"/>
          <w:color w:val="008000"/>
          <w:sz w:val="28"/>
          <w:szCs w:val="28"/>
          <w:rtl/>
          <w:lang w:val="it-IT"/>
        </w:rPr>
        <w:t xml:space="preserve"> </w:t>
      </w:r>
      <w:r w:rsidR="00AE6173">
        <w:rPr>
          <w:rFonts w:asciiTheme="majorBidi" w:hAnsiTheme="majorBidi" w:cs="Arial Unicode MS"/>
          <w:color w:val="008000"/>
          <w:sz w:val="28"/>
          <w:szCs w:val="28"/>
          <w:lang w:val="it-IT"/>
        </w:rPr>
        <w:t xml:space="preserve"> </w:t>
      </w:r>
      <w:r>
        <w:rPr>
          <w:rFonts w:asciiTheme="majorBidi" w:hAnsiTheme="majorBidi" w:cstheme="majorBidi"/>
          <w:color w:val="008000"/>
          <w:sz w:val="28"/>
          <w:szCs w:val="28"/>
          <w:lang w:val="it-IT"/>
        </w:rPr>
        <w:t xml:space="preserve">ha interdetto il digiuno dopo la metà di </w:t>
      </w:r>
      <w:r>
        <w:rPr>
          <w:rFonts w:asciiTheme="majorBidi" w:hAnsiTheme="majorBidi" w:cstheme="majorBidi"/>
          <w:i/>
          <w:iCs/>
          <w:color w:val="008000"/>
          <w:sz w:val="28"/>
          <w:szCs w:val="28"/>
          <w:u w:val="single"/>
          <w:lang w:val="it-IT"/>
        </w:rPr>
        <w:t>Sh</w:t>
      </w:r>
      <w:r>
        <w:rPr>
          <w:rFonts w:asciiTheme="majorBidi" w:hAnsiTheme="majorBidi" w:cstheme="majorBidi"/>
          <w:i/>
          <w:iCs/>
          <w:color w:val="008000"/>
          <w:sz w:val="28"/>
          <w:szCs w:val="28"/>
          <w:lang w:val="it-IT"/>
        </w:rPr>
        <w:t>a᾿bān</w:t>
      </w:r>
      <w:r>
        <w:rPr>
          <w:rFonts w:asciiTheme="majorBidi" w:hAnsiTheme="majorBidi" w:cstheme="majorBidi"/>
          <w:color w:val="008000"/>
          <w:sz w:val="28"/>
          <w:szCs w:val="28"/>
          <w:lang w:val="it-IT"/>
        </w:rPr>
        <w:t>.</w:t>
      </w:r>
    </w:p>
    <w:p w:rsidR="00FD4024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FD4024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La lode a Iddio. </w:t>
      </w:r>
    </w:p>
    <w:p w:rsidR="00FD4024" w:rsidRPr="00FD4024" w:rsidRDefault="00FD4024" w:rsidP="00AB4506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FD4024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Abu Daw</w:t>
      </w:r>
      <w:r w:rsidRPr="00FD4024">
        <w:rPr>
          <w:rFonts w:asciiTheme="majorBidi" w:hAnsiTheme="majorBidi" w:cstheme="majorBidi"/>
          <w:i/>
          <w:iCs/>
          <w:sz w:val="28"/>
          <w:szCs w:val="28"/>
          <w:lang w:val="it-IT"/>
        </w:rPr>
        <w:t>ū</w:t>
      </w:r>
      <w:r w:rsidRPr="00FD4024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d</w:t>
      </w:r>
      <w:r w:rsidRPr="00FD4024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(3237), </w:t>
      </w:r>
      <w:r w:rsidRPr="00FD4024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At-Tirmi</w:t>
      </w:r>
      <w:r w:rsidRPr="00FD4024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dh</w:t>
      </w:r>
      <w:r w:rsidRPr="00FD4024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FD4024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(738) e </w:t>
      </w:r>
      <w:r w:rsidRPr="00FD4024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Ibn Mājah</w:t>
      </w:r>
      <w:r w:rsidR="00FC6D5A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(1651) hanno trasmesso da </w:t>
      </w:r>
      <w:r w:rsidRPr="00FD4024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Abu Hurayrah</w:t>
      </w:r>
      <w:r w:rsidRPr="00FD4024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- che Iddio si compiaccia di lui - che il Messaggero di Iddio</w:t>
      </w:r>
      <w:r>
        <w:rPr>
          <w:rFonts w:ascii="Arial Unicode MS" w:eastAsia="Verdana" w:hAnsi="Arial Unicode MS" w:cs="Arial Unicode MS" w:hint="eastAsia"/>
          <w:sz w:val="28"/>
          <w:szCs w:val="28"/>
          <w:rtl/>
          <w:lang w:eastAsia="zh-CN" w:bidi="ar-SY"/>
        </w:rPr>
        <w:t>ﷺ</w:t>
      </w:r>
      <w:r>
        <w:rPr>
          <w:rFonts w:asciiTheme="majorBidi" w:eastAsia="Verdana" w:hAnsiTheme="majorBidi" w:cs="Arial Unicode MS"/>
          <w:sz w:val="28"/>
          <w:szCs w:val="28"/>
          <w:rtl/>
          <w:lang w:eastAsia="zh-CN" w:bidi="ar-SY"/>
        </w:rPr>
        <w:t xml:space="preserve"> </w:t>
      </w:r>
      <w:r w:rsidR="00AB4506" w:rsidRPr="00AB4506">
        <w:rPr>
          <w:rFonts w:asciiTheme="majorBidi" w:eastAsia="Verdana" w:hAnsiTheme="majorBidi" w:cs="Arial Unicode MS"/>
          <w:sz w:val="28"/>
          <w:szCs w:val="28"/>
          <w:lang w:val="it-IT" w:eastAsia="zh-CN" w:bidi="ar-SY"/>
        </w:rPr>
        <w:t xml:space="preserve"> </w:t>
      </w:r>
      <w:r w:rsidRPr="00FD4024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disse: “</w:t>
      </w:r>
      <w:r w:rsidRPr="00FD4024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 xml:space="preserve">Quando </w:t>
      </w:r>
      <w:r w:rsidRPr="00FD4024">
        <w:rPr>
          <w:rFonts w:asciiTheme="majorBidi" w:eastAsia="Verdana" w:hAnsiTheme="majorBidi" w:cstheme="majorBidi"/>
          <w:b/>
          <w:bCs/>
          <w:i/>
          <w:iCs/>
          <w:sz w:val="28"/>
          <w:szCs w:val="28"/>
          <w:u w:val="single"/>
          <w:lang w:val="it-IT" w:eastAsia="zh-CN" w:bidi="ar-SY"/>
        </w:rPr>
        <w:t>Sh</w:t>
      </w:r>
      <w:r w:rsidRPr="00FD4024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>a</w:t>
      </w:r>
      <w:r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eastAsia="zh-CN" w:bidi="ar-SY"/>
        </w:rPr>
        <w:t>᾿</w:t>
      </w:r>
      <w:r w:rsidRPr="00FD4024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>bān si dimezza, non digiunate</w:t>
      </w:r>
      <w:r w:rsidRPr="00FD4024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”. 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lang w:val="it-IT" w:eastAsia="zh-CN" w:bidi="ar-SY"/>
        </w:rPr>
        <w:t xml:space="preserve">[Giudicato autentico da 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Al-Alb</w:t>
      </w:r>
      <w:r w:rsidRPr="00AE6173">
        <w:rPr>
          <w:rFonts w:asciiTheme="majorBidi" w:hAnsiTheme="majorBidi" w:cstheme="majorBidi"/>
          <w:i/>
          <w:iCs/>
          <w:lang w:val="it-IT"/>
        </w:rPr>
        <w:t>ā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n</w:t>
      </w:r>
      <w:r w:rsidRPr="00AE6173">
        <w:rPr>
          <w:rFonts w:asciiTheme="majorBidi" w:hAnsiTheme="majorBidi" w:cstheme="majorBidi"/>
          <w:i/>
          <w:iCs/>
          <w:lang w:val="it-IT"/>
        </w:rPr>
        <w:t>ī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 xml:space="preserve"> in “</w:t>
      </w:r>
      <w:r w:rsidRPr="00AE6173">
        <w:rPr>
          <w:rFonts w:asciiTheme="majorBidi" w:hAnsiTheme="majorBidi" w:cstheme="majorBidi"/>
          <w:i/>
          <w:iCs/>
          <w:lang w:val="it-IT"/>
        </w:rPr>
        <w:t>Ş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>a</w:t>
      </w:r>
      <w:r w:rsidRPr="00AE6173">
        <w:rPr>
          <w:rFonts w:asciiTheme="majorBidi" w:hAnsiTheme="majorBidi" w:cstheme="majorBidi"/>
          <w:i/>
          <w:iCs/>
          <w:lang w:val="it-IT"/>
        </w:rPr>
        <w:t>ĥīĥ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 xml:space="preserve"> 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At-Tirmi</w:t>
      </w:r>
      <w:r w:rsidRPr="00AE6173">
        <w:rPr>
          <w:rFonts w:asciiTheme="majorBidi" w:eastAsia="Verdana" w:hAnsiTheme="majorBidi" w:cstheme="majorBidi"/>
          <w:i/>
          <w:iCs/>
          <w:u w:val="single"/>
          <w:lang w:val="it-IT" w:eastAsia="zh-CN" w:bidi="ar-SY"/>
        </w:rPr>
        <w:t>dh</w:t>
      </w:r>
      <w:r w:rsidRPr="00AE6173">
        <w:rPr>
          <w:rFonts w:asciiTheme="majorBidi" w:hAnsiTheme="majorBidi" w:cstheme="majorBidi"/>
          <w:i/>
          <w:iCs/>
          <w:lang w:val="it-IT"/>
        </w:rPr>
        <w:t>ī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>” (590)]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Questo detto indica l’intedizione del digiuno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</w:t>
      </w:r>
      <w:r>
        <w:rPr>
          <w:rFonts w:asciiTheme="majorBidi" w:hAnsiTheme="majorBidi" w:cstheme="majorBidi"/>
          <w:i/>
          <w:iCs/>
          <w:sz w:val="28"/>
          <w:szCs w:val="28"/>
        </w:rPr>
        <w:t>᾿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bān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, cioè a partire dal sedicesimo giorno.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Eppure, esistono narrazioni che indicano che sia lecito digiunare in questo periodo, e tra queste:</w:t>
      </w:r>
    </w:p>
    <w:p w:rsidR="00FD4024" w:rsidRPr="00AE6173" w:rsidRDefault="00FD4024" w:rsidP="00AB4506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Ciò che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Al-Bu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kh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ār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Muslim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hanno trasmesso che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Abu Hurayrah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- che Iddio Si compiaccia di lui – il quale disse: “Il Messaggero di Iddio</w:t>
      </w:r>
      <w:r w:rsidR="00AB4506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</w:t>
      </w:r>
      <w:r>
        <w:rPr>
          <w:rFonts w:ascii="Arial Unicode MS" w:eastAsia="Verdana" w:hAnsi="Arial Unicode MS" w:cs="Arial Unicode MS" w:hint="eastAsia"/>
          <w:sz w:val="28"/>
          <w:szCs w:val="28"/>
          <w:rtl/>
          <w:lang w:eastAsia="zh-CN" w:bidi="ar-SY"/>
        </w:rPr>
        <w:t>ﷺ</w:t>
      </w:r>
      <w:r w:rsidR="00AB4506" w:rsidRPr="00AB4506">
        <w:rPr>
          <w:rFonts w:ascii="Arial Unicode MS" w:eastAsia="Verdana" w:hAnsi="Arial Unicode MS" w:cs="Arial Unicode MS"/>
          <w:sz w:val="28"/>
          <w:szCs w:val="28"/>
          <w:lang w:val="it-IT" w:eastAsia="zh-CN" w:bidi="ar-SY"/>
        </w:rPr>
        <w:t xml:space="preserve"> 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disse: «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>Non anticipate Ramaḑ</w:t>
      </w:r>
      <w:r w:rsidRPr="00AE6173">
        <w:rPr>
          <w:rFonts w:asciiTheme="majorBidi" w:hAnsiTheme="majorBidi" w:cstheme="majorBidi"/>
          <w:b/>
          <w:bCs/>
          <w:i/>
          <w:iCs/>
          <w:sz w:val="28"/>
          <w:szCs w:val="28"/>
          <w:lang w:val="it-IT"/>
        </w:rPr>
        <w:t>ā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>n col digiuno di uno o due giorni; tranne per un uomo che già digiuna, allora che digiuni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»”.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Questo indica che digiunare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è permesso per colui che ha l’abitudine di digiunare, come un uomo che digiuni regolarmente di lunedì e giovedì, oppure digiuni a giorni alterni e così via.</w:t>
      </w:r>
    </w:p>
    <w:p w:rsidR="00FC6D5A" w:rsidRPr="00AE6173" w:rsidRDefault="00FC6D5A" w:rsidP="00FC6D5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</w:p>
    <w:p w:rsidR="00FC6D5A" w:rsidRPr="00AE6173" w:rsidRDefault="00FC6D5A" w:rsidP="00FC6D5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</w:p>
    <w:p w:rsidR="00FD4024" w:rsidRPr="00AE6173" w:rsidRDefault="00FD4024" w:rsidP="001A32DC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lastRenderedPageBreak/>
        <w:t>Al-Bu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kh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ār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(1970) 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Muslim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(1156) hanno trasmesso che </w:t>
      </w:r>
      <w:r w:rsidRPr="00FC6D5A">
        <w:rPr>
          <w:rFonts w:ascii="Helvetica" w:hAnsi="Helvetica"/>
          <w:b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᾿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Ā</w:t>
      </w:r>
      <w:r w:rsidRPr="00FC6D5A">
        <w:rPr>
          <w:rFonts w:ascii="Helvetica" w:hAnsi="Helvetica"/>
          <w:b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῾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i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ah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- </w:t>
      </w:r>
      <w:r w:rsidRPr="001A32DC">
        <w:rPr>
          <w:rFonts w:asciiTheme="majorBidi" w:eastAsia="Verdana" w:hAnsiTheme="majorBidi" w:cstheme="majorBidi"/>
          <w:lang w:val="it-IT" w:eastAsia="zh-CN" w:bidi="ar-SY"/>
        </w:rPr>
        <w:t xml:space="preserve">che Iddio Si compiaccia di lei 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- disse: “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>Il Messaggero di Iddio</w:t>
      </w:r>
      <w:r w:rsidRPr="00FC6D5A">
        <w:rPr>
          <w:rFonts w:ascii="Arial Unicode MS" w:eastAsia="Verdana" w:hAnsi="Arial Unicode MS" w:cs="Arial Unicode MS" w:hint="eastAsia"/>
          <w:b/>
          <w:bCs/>
          <w:i/>
          <w:iCs/>
          <w:sz w:val="28"/>
          <w:szCs w:val="28"/>
          <w:rtl/>
          <w:lang w:eastAsia="zh-CN" w:bidi="ar-SY"/>
        </w:rPr>
        <w:t>ﷺ</w:t>
      </w:r>
      <w:r w:rsidRPr="00FC6D5A">
        <w:rPr>
          <w:rFonts w:asciiTheme="majorBidi" w:eastAsia="Verdana" w:hAnsiTheme="majorBidi" w:cs="Arial Unicode MS"/>
          <w:b/>
          <w:bCs/>
          <w:i/>
          <w:iCs/>
          <w:sz w:val="28"/>
          <w:szCs w:val="28"/>
          <w:rtl/>
          <w:lang w:eastAsia="zh-CN" w:bidi="ar-SY"/>
        </w:rPr>
        <w:t xml:space="preserve"> </w:t>
      </w:r>
      <w:r w:rsidR="001A32DC" w:rsidRPr="001A32DC">
        <w:rPr>
          <w:rFonts w:asciiTheme="majorBidi" w:eastAsia="Verdana" w:hAnsiTheme="majorBidi" w:cs="Arial Unicode MS"/>
          <w:b/>
          <w:bCs/>
          <w:i/>
          <w:iCs/>
          <w:sz w:val="28"/>
          <w:szCs w:val="28"/>
          <w:lang w:val="it-IT" w:eastAsia="zh-CN" w:bidi="ar-SY"/>
        </w:rPr>
        <w:t xml:space="preserve"> 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 xml:space="preserve">soleva digiunare l’intero </w:t>
      </w:r>
      <w:r w:rsidRPr="00AE617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b/>
          <w:bCs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 xml:space="preserve">, digiunava </w:t>
      </w:r>
      <w:r w:rsidRPr="00AE617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b/>
          <w:bCs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 xml:space="preserve"> eccetto un poco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”. </w:t>
      </w:r>
      <w:r w:rsidRPr="001A32DC">
        <w:rPr>
          <w:rFonts w:asciiTheme="majorBidi" w:eastAsia="Verdana" w:hAnsiTheme="majorBidi" w:cstheme="majorBidi"/>
          <w:lang w:val="it-IT" w:eastAsia="zh-CN" w:bidi="ar-SY"/>
        </w:rPr>
        <w:t xml:space="preserve">[La versione è di </w:t>
      </w:r>
      <w:r w:rsidRPr="001A32DC">
        <w:rPr>
          <w:rFonts w:asciiTheme="majorBidi" w:eastAsia="Verdana" w:hAnsiTheme="majorBidi" w:cstheme="majorBidi"/>
          <w:i/>
          <w:iCs/>
          <w:lang w:val="it-IT" w:eastAsia="zh-CN" w:bidi="ar-SY"/>
        </w:rPr>
        <w:t>Muslim</w:t>
      </w:r>
      <w:r w:rsidRPr="001A32DC">
        <w:rPr>
          <w:rFonts w:asciiTheme="majorBidi" w:eastAsia="Verdana" w:hAnsiTheme="majorBidi" w:cstheme="majorBidi"/>
          <w:lang w:val="it-IT" w:eastAsia="zh-CN" w:bidi="ar-SY"/>
        </w:rPr>
        <w:t>].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Disse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An-Nawaw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: 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Nel suo detto: «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 xml:space="preserve">soleva digiunare l’intero </w:t>
      </w:r>
      <w:r w:rsidRPr="00AE617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b/>
          <w:bCs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 xml:space="preserve">, digiunava </w:t>
      </w:r>
      <w:r w:rsidRPr="00AE617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b/>
          <w:bCs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 xml:space="preserve"> eccetto un poco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» la seconda frase specifica la prima e indica che la parola «</w:t>
      </w:r>
      <w:r w:rsidRPr="00AE6173">
        <w:rPr>
          <w:rFonts w:asciiTheme="majorBidi" w:eastAsia="Verdana" w:hAnsiTheme="majorBidi" w:cstheme="majorBidi"/>
          <w:b/>
          <w:bCs/>
          <w:i/>
          <w:iCs/>
          <w:sz w:val="28"/>
          <w:szCs w:val="28"/>
          <w:lang w:val="it-IT" w:eastAsia="zh-CN" w:bidi="ar-SY"/>
        </w:rPr>
        <w:t>intero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» significa: la maggior parte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”. 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Questo detto indica che è lecito digiunare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, ma solo per chi lo collega a ciò che ha preceduto la metà [del mese].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Gli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sciafaiti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hanno considerato tutti questi detti e poi hanno detto:</w:t>
      </w:r>
    </w:p>
    <w:p w:rsidR="00FD4024" w:rsidRPr="00AE6173" w:rsidRDefault="00FD4024" w:rsidP="00F546CD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“Non è lecito digiunare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eccetto per chi ne abbia l’abitudine o chi lo colleghi a ciò che l’ha preceduto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</w:t>
      </w:r>
      <w:r w:rsidR="00F546CD"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E questo è ciò che viene ritenuto più corretto dalla maggior parte di loro, ovvero che l’interdizione contenuta nel detto indichi l’illiceità.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Alcuni, come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Ar-R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y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ā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n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, hanno sono giunti alla conclusione che la presente interdizione indichi invece ciò che è detestabile (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kar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ā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hah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) e non l’illiceità.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lang w:val="it-IT" w:eastAsia="zh-CN" w:bidi="ar-SY"/>
        </w:rPr>
        <w:t>Vedi: “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Al-Majm</w:t>
      </w:r>
      <w:r w:rsidRPr="00AE6173">
        <w:rPr>
          <w:rFonts w:asciiTheme="majorBidi" w:hAnsiTheme="majorBidi" w:cstheme="majorBidi"/>
          <w:i/>
          <w:iCs/>
          <w:lang w:val="it-IT"/>
        </w:rPr>
        <w:t>ū</w:t>
      </w:r>
      <w:r>
        <w:rPr>
          <w:rFonts w:asciiTheme="majorBidi" w:eastAsia="Verdana" w:hAnsiTheme="majorBidi" w:cstheme="majorBidi"/>
          <w:i/>
          <w:iCs/>
          <w:lang w:eastAsia="zh-CN" w:bidi="ar-SY"/>
        </w:rPr>
        <w:t>᾿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>” (6/399); “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Fat</w:t>
      </w:r>
      <w:r w:rsidRPr="00AE6173">
        <w:rPr>
          <w:rFonts w:asciiTheme="majorBidi" w:hAnsiTheme="majorBidi" w:cstheme="majorBidi"/>
          <w:i/>
          <w:iCs/>
          <w:lang w:val="it-IT"/>
        </w:rPr>
        <w:t>ĥ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 xml:space="preserve"> Al-Bār</w:t>
      </w:r>
      <w:r w:rsidRPr="00AE6173">
        <w:rPr>
          <w:rFonts w:asciiTheme="majorBidi" w:hAnsiTheme="majorBidi" w:cstheme="majorBidi"/>
          <w:i/>
          <w:iCs/>
          <w:lang w:val="it-IT"/>
        </w:rPr>
        <w:t>ī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>” (4/129).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An-Nawawi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- che Iddio abbia misericordia di lui - intitolò in 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Riyāḑ A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ş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-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Ş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āli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 (412):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Capitolo sull’interdizione di anticipare Ramaḑān col digiuno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eccetto per colui che lo colleghi con ciò che lo precede o abbia un’abitudine a riguardo, come come il digiuno di lunedì e giovedì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lastRenderedPageBreak/>
        <w:t>La maggioranza dei sapienti sono invece giunti alla conclusione di ritenere debole (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ḑa’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f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) il detto che interdice di digiunare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, e in ragione di ciò hanno detto che non è detestabile (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makr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h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) digiunare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.</w:t>
      </w:r>
    </w:p>
    <w:p w:rsidR="00FD4024" w:rsidRPr="00AE6173" w:rsidRDefault="00FD4024" w:rsidP="007A15F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Al-</w:t>
      </w:r>
      <w:r w:rsidR="007A15F5"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āfi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z̧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disse: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La maggioranza dei sapienti ha detto che è lecito il digiuno volontario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e considerano debole (ḑa’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f) il detto riguardo ciò, e A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mad e Ibn Ma’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n hanno detto che è rigettato (munkar)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”. 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 xml:space="preserve">[Da 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Fat</w:t>
      </w:r>
      <w:r w:rsidRPr="00AE6173">
        <w:rPr>
          <w:rFonts w:asciiTheme="majorBidi" w:hAnsiTheme="majorBidi" w:cstheme="majorBidi"/>
          <w:i/>
          <w:iCs/>
          <w:lang w:val="it-IT"/>
        </w:rPr>
        <w:t>ĥ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 xml:space="preserve"> Al-Bār</w:t>
      </w:r>
      <w:r w:rsidRPr="00AE6173">
        <w:rPr>
          <w:rFonts w:asciiTheme="majorBidi" w:hAnsiTheme="majorBidi" w:cstheme="majorBidi"/>
          <w:i/>
          <w:iCs/>
          <w:lang w:val="it-IT"/>
        </w:rPr>
        <w:t>ī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>].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E tra coloro che lo hanno ritenuto debole vi sono inoltre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Al-Bayhaq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Al-Ta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ĥĥ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aw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sz w:val="28"/>
          <w:szCs w:val="28"/>
          <w:lang w:val="it-IT" w:eastAsia="zh-CN" w:bidi="ar-SY"/>
        </w:rPr>
        <w:t>Ibn Qudamah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ha ricordato in 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Al-Mu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gh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n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 che l’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Imām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mad 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disse riguardo tale detto: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Non è conservato. Abbiamo domandato ad </w:t>
      </w:r>
      <w:r w:rsidR="00946C80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br/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’Abdar-Ra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mān Ibn Mahd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riguardo ad esso e non l’ha giudicato autentico, non me l’ha trasmesso, e soleva evitarlo. Disse A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mad: “Al-’Alā</w:t>
      </w:r>
      <w:r>
        <w:rPr>
          <w:rFonts w:asciiTheme="majorBidi" w:eastAsia="Verdana" w:hAnsiTheme="majorBidi" w:cstheme="majorBidi"/>
          <w:i/>
          <w:iCs/>
          <w:sz w:val="28"/>
          <w:szCs w:val="28"/>
          <w:lang w:eastAsia="zh-CN" w:bidi="ar-SY"/>
        </w:rPr>
        <w:t>῾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 è autorevole (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th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iqah) e nessuno dei suoi detti è rinnegato eccetto questo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Al-‘Alā’ 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a cui ci si riferisce qui è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Al-’Alā</w:t>
      </w:r>
      <w:r>
        <w:rPr>
          <w:rFonts w:asciiTheme="majorBidi" w:eastAsia="Verdana" w:hAnsiTheme="majorBidi" w:cstheme="majorBidi"/>
          <w:i/>
          <w:iCs/>
          <w:sz w:val="28"/>
          <w:szCs w:val="28"/>
          <w:lang w:eastAsia="zh-CN" w:bidi="ar-SY"/>
        </w:rPr>
        <w:t>῾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Ibn ’Abdir- Ra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mān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, e trasmise questo detto da suo padre e quest’ultimo da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Abu Hurayrah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, che Iddio si compiaccia di lui.</w:t>
      </w:r>
    </w:p>
    <w:p w:rsidR="00FD4024" w:rsidRPr="00AE6173" w:rsidRDefault="00FD4024" w:rsidP="00FC6D5A">
      <w:pPr>
        <w:bidi w:val="0"/>
        <w:spacing w:line="240" w:lineRule="auto"/>
        <w:jc w:val="both"/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Ibn Al-Qayyim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- che Iddio abbia di lui misericordia - ha replicato in 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Tah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dh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b As-Sunan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” a coloro che hanno giudicato debole questo detto dicendo sommariamente: </w:t>
      </w:r>
    </w:p>
    <w:p w:rsidR="00FD4024" w:rsidRPr="00AE6173" w:rsidRDefault="00FD4024" w:rsidP="00D60EE0">
      <w:pPr>
        <w:bidi w:val="0"/>
        <w:spacing w:line="240" w:lineRule="auto"/>
        <w:jc w:val="both"/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“Invero questo detto è autentico secondo il criterio di Muslim, e la singolarità di Al-’Alā</w:t>
      </w:r>
      <w:r>
        <w:rPr>
          <w:rFonts w:asciiTheme="majorBidi" w:eastAsia="Verdana" w:hAnsiTheme="majorBidi" w:cstheme="majorBidi"/>
          <w:i/>
          <w:iCs/>
          <w:sz w:val="28"/>
          <w:szCs w:val="28"/>
          <w:lang w:eastAsia="zh-CN" w:bidi="ar-SY"/>
        </w:rPr>
        <w:t>῾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nella trasmissione di questo detto non è da considerarsi compromettente per il detto poiché Al-’Alā</w:t>
      </w:r>
      <w:r>
        <w:rPr>
          <w:rFonts w:asciiTheme="majorBidi" w:eastAsia="Verdana" w:hAnsiTheme="majorBidi" w:cstheme="majorBidi"/>
          <w:i/>
          <w:iCs/>
          <w:sz w:val="28"/>
          <w:szCs w:val="28"/>
          <w:lang w:eastAsia="zh-CN" w:bidi="ar-SY"/>
        </w:rPr>
        <w:t>῾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è autorevole (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th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iqah); Muslim, nel suo “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Ş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ĥīĥ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”, ha trasmesso di lui diversi detti, riferiti da suo padre, riferiti da Abu Hurayrah</w:t>
      </w:r>
      <w:r w:rsidRPr="00D60EE0">
        <w:rPr>
          <w:rFonts w:asciiTheme="majorBidi" w:eastAsia="Verdana" w:hAnsiTheme="majorBidi" w:cstheme="majorBidi"/>
          <w:i/>
          <w:iCs/>
          <w:lang w:val="it-IT" w:eastAsia="zh-CN" w:bidi="ar-SY"/>
        </w:rPr>
        <w:t xml:space="preserve">- che Iddio si compiaccia di lui-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e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lastRenderedPageBreak/>
        <w:t>poi molte consuetudini sono state trasmesse a partire dal Profeta</w:t>
      </w:r>
      <w:r>
        <w:rPr>
          <w:rFonts w:ascii="Arial Unicode MS" w:eastAsia="Verdana" w:hAnsi="Arial Unicode MS" w:cs="Arial Unicode MS" w:hint="eastAsia"/>
          <w:i/>
          <w:iCs/>
          <w:sz w:val="28"/>
          <w:szCs w:val="28"/>
          <w:rtl/>
          <w:lang w:eastAsia="zh-CN" w:bidi="ar-SY"/>
        </w:rPr>
        <w:t>ﷺ</w:t>
      </w:r>
      <w:r>
        <w:rPr>
          <w:rFonts w:asciiTheme="majorBidi" w:eastAsia="Verdana" w:hAnsiTheme="majorBidi" w:cs="Arial Unicode MS"/>
          <w:i/>
          <w:iCs/>
          <w:sz w:val="28"/>
          <w:szCs w:val="28"/>
          <w:rtl/>
          <w:lang w:eastAsia="zh-CN" w:bidi="ar-SY"/>
        </w:rPr>
        <w:t xml:space="preserve">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da autorevoli (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th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iqāt) singoli, eppure sono state accettate e applicate dalla Comunità [...]”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Dopo aggiunge 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>(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Ibn Al-Qayyim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>)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: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Riguardo invece alla supposizione che vi sia contraddizione tra questo detto e i detti che si riferiscono al digiuno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[diciamo]: non v’è contraddizione tra di essi, e quei detti si riferiscono al digiuno della [seconda] metà di esso assieme a ciò che lo precede, e al digiuno abituale durante la seconda metà del mese, e il detto di Al-’Alā</w:t>
      </w:r>
      <w:r>
        <w:rPr>
          <w:rFonts w:asciiTheme="majorBidi" w:eastAsia="Verdana" w:hAnsiTheme="majorBidi" w:cstheme="majorBidi"/>
          <w:i/>
          <w:iCs/>
          <w:sz w:val="28"/>
          <w:szCs w:val="28"/>
          <w:lang w:eastAsia="zh-CN" w:bidi="ar-SY"/>
        </w:rPr>
        <w:t>῾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indica l’interdizione per chi deliberatamente intende il digiuno dopo la metà [del mese, quindi] non per l’abitudine e neppure per ciò che è in aggiunta a ciò che lo precede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-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ay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kh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Ibn Bāz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- 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 xml:space="preserve">che Iddio abbia di lui misericordia 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- fu interrogato a proposito del detto che interdice il digiuno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, e allora rispose: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Questo è un detto autentico, come ha detto il fratello, il sapientissimo, A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-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ay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kh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Nā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ş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ir Ad-D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n Al-Albān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. Ciò che con questo si intende è l’interdizione di iniziare il digiuno dopo la metà [del mese]; chi invece digiuni la maggior parte o l’intero mese, allora ha centrato la consuetudine profetica (Sunnah)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lang w:val="it-IT" w:eastAsia="zh-CN" w:bidi="ar-SY"/>
        </w:rPr>
        <w:t>[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Majm</w:t>
      </w:r>
      <w:r w:rsidRPr="00AE6173">
        <w:rPr>
          <w:rFonts w:asciiTheme="majorBidi" w:hAnsiTheme="majorBidi" w:cstheme="majorBidi"/>
          <w:i/>
          <w:iCs/>
          <w:lang w:val="it-IT"/>
        </w:rPr>
        <w:t>ū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’ Fatāwā A</w:t>
      </w:r>
      <w:r w:rsidRPr="00AE6173">
        <w:rPr>
          <w:rFonts w:asciiTheme="majorBidi" w:eastAsia="Verdana" w:hAnsiTheme="majorBidi" w:cstheme="majorBidi"/>
          <w:i/>
          <w:iCs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-</w:t>
      </w:r>
      <w:r w:rsidRPr="00AE6173">
        <w:rPr>
          <w:rFonts w:asciiTheme="majorBidi" w:eastAsia="Verdana" w:hAnsiTheme="majorBidi" w:cstheme="majorBidi"/>
          <w:i/>
          <w:iCs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>ay</w:t>
      </w:r>
      <w:r w:rsidRPr="00AE6173">
        <w:rPr>
          <w:rFonts w:asciiTheme="majorBidi" w:eastAsia="Verdana" w:hAnsiTheme="majorBidi" w:cstheme="majorBidi"/>
          <w:i/>
          <w:iCs/>
          <w:u w:val="single"/>
          <w:lang w:val="it-IT" w:eastAsia="zh-CN" w:bidi="ar-SY"/>
        </w:rPr>
        <w:t>kh</w:t>
      </w:r>
      <w:r w:rsidRPr="00AE6173">
        <w:rPr>
          <w:rFonts w:asciiTheme="majorBidi" w:eastAsia="Verdana" w:hAnsiTheme="majorBidi" w:cstheme="majorBidi"/>
          <w:i/>
          <w:iCs/>
          <w:lang w:val="it-IT" w:eastAsia="zh-CN" w:bidi="ar-SY"/>
        </w:rPr>
        <w:t xml:space="preserve"> Ibn Bāz</w:t>
      </w:r>
      <w:r w:rsidRPr="00AE6173">
        <w:rPr>
          <w:rFonts w:asciiTheme="majorBidi" w:eastAsia="Verdana" w:hAnsiTheme="majorBidi" w:cstheme="majorBidi"/>
          <w:lang w:val="it-IT" w:eastAsia="zh-CN" w:bidi="ar-SY"/>
        </w:rPr>
        <w:t xml:space="preserve"> (15/385)].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-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Sh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ay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kh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Ibn ‘U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u w:val="single"/>
          <w:lang w:val="it-IT" w:eastAsia="zh-CN" w:bidi="ar-SY"/>
        </w:rPr>
        <w:t>th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aym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 disse nella sua spiegazione di 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Riyāḑ A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ş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-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Ş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āli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ĥī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 (3/394):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Anche se il detto fosse autentico, l’interdizione contenutavi non indica l’illiceità, piuttosto il fatto che sia solamente detestabile (makr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h), come lo hanno considerato alcuni tra la gente della sapienza. Però, chi possieda l’abitudine di digiunare, allora che digiuni, seppure dopo la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lastRenderedPageBreak/>
        <w:t>Riassumendo la risposta: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Viene interdetto il digiuno durante la seconda metà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, in quanto detestabile (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makr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ū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h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) o illecito (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harām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), eccetto per colui il quale possegga l’abitudine di digiunare o colleghi il digiuno con ciò che precede la metà. E Iddio è più Sapiente.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 xml:space="preserve">La ragione di tale interdizione è che la continuazione del digiuno potrebbe indebolire dal digiuno di 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Ramaḑān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E se venisse detto: 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Se digiuna dall’inizio del mese, allora diventerà ancor più debole!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La replica: 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Chi digiuni dall’inizio di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, sarà divenuto avvezzo al digiuno e così gliene sarà rimosso il fardello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Al-Qār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 xml:space="preserve">ī 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disse: “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L’interdizione qui significa che è sgradito, per misericordia verso la Comunità perché non si indeboliscano dall’onorare il loro dovere di digiunare durante Ramadan in modo energico. Chi invece digiuna l’intero </w:t>
      </w:r>
      <w:r w:rsidRPr="00AE6173">
        <w:rPr>
          <w:rFonts w:asciiTheme="majorBidi" w:hAnsiTheme="majorBidi" w:cstheme="majorBidi"/>
          <w:i/>
          <w:iCs/>
          <w:sz w:val="28"/>
          <w:szCs w:val="28"/>
          <w:u w:val="single"/>
          <w:lang w:val="it-IT"/>
        </w:rPr>
        <w:t>Sh</w:t>
      </w:r>
      <w:r w:rsidRPr="00AE6173">
        <w:rPr>
          <w:rFonts w:asciiTheme="majorBidi" w:hAnsiTheme="majorBidi" w:cstheme="majorBidi"/>
          <w:i/>
          <w:iCs/>
          <w:sz w:val="28"/>
          <w:szCs w:val="28"/>
          <w:lang w:val="it-IT"/>
        </w:rPr>
        <w:t>a’bān,</w:t>
      </w:r>
      <w:r w:rsidRPr="00AE617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 xml:space="preserve"> allora diventa avvezzo al digiuno e così viene rimosso da lui il fardello del digiuno</w:t>
      </w: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”.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  <w:r w:rsidRPr="00AE6173"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  <w:t>E Iddio è più Sapiente.</w:t>
      </w:r>
    </w:p>
    <w:p w:rsidR="00FD4024" w:rsidRPr="00AE6173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8"/>
          <w:szCs w:val="28"/>
          <w:lang w:val="it-IT" w:eastAsia="zh-CN" w:bidi="ar-SY"/>
        </w:rPr>
      </w:pPr>
    </w:p>
    <w:p w:rsidR="00FD4024" w:rsidRDefault="00FD4024" w:rsidP="00FD4024">
      <w:pPr>
        <w:bidi w:val="0"/>
        <w:spacing w:line="240" w:lineRule="auto"/>
        <w:jc w:val="both"/>
        <w:rPr>
          <w:rFonts w:asciiTheme="majorBidi" w:eastAsia="Verdana" w:hAnsiTheme="majorBidi" w:cstheme="majorBidi"/>
          <w:i/>
          <w:iCs/>
          <w:sz w:val="28"/>
          <w:szCs w:val="28"/>
          <w:lang w:eastAsia="zh-CN" w:bidi="ar-SY"/>
        </w:rPr>
      </w:pPr>
      <w:r>
        <w:rPr>
          <w:rFonts w:asciiTheme="majorBidi" w:eastAsia="Verdana" w:hAnsiTheme="majorBidi" w:cstheme="majorBidi"/>
          <w:i/>
          <w:iCs/>
          <w:sz w:val="28"/>
          <w:szCs w:val="28"/>
          <w:lang w:eastAsia="zh-CN" w:bidi="ar-SY"/>
        </w:rPr>
        <w:t>Isl</w:t>
      </w:r>
      <w:r>
        <w:rPr>
          <w:rFonts w:asciiTheme="majorBidi" w:hAnsiTheme="majorBidi" w:cstheme="majorBidi"/>
          <w:i/>
          <w:iCs/>
          <w:sz w:val="28"/>
          <w:szCs w:val="28"/>
        </w:rPr>
        <w:t>ā</w:t>
      </w:r>
      <w:r>
        <w:rPr>
          <w:rFonts w:asciiTheme="majorBidi" w:eastAsia="Verdana" w:hAnsiTheme="majorBidi" w:cstheme="majorBidi"/>
          <w:i/>
          <w:iCs/>
          <w:sz w:val="28"/>
          <w:szCs w:val="28"/>
          <w:lang w:eastAsia="zh-CN" w:bidi="ar-SY"/>
        </w:rPr>
        <w:t>m Q&amp;A</w:t>
      </w:r>
    </w:p>
    <w:p w:rsidR="00CA5FDC" w:rsidRPr="00CA5FDC" w:rsidRDefault="00CA5FDC" w:rsidP="003A3CDC">
      <w:pPr>
        <w:spacing w:line="240" w:lineRule="auto"/>
        <w:jc w:val="right"/>
        <w:rPr>
          <w:rFonts w:asciiTheme="majorBidi" w:eastAsia="Verdana" w:hAnsiTheme="majorBidi" w:cstheme="majorBidi"/>
          <w:color w:val="800000"/>
          <w:sz w:val="28"/>
          <w:szCs w:val="28"/>
          <w:lang w:val="it-IT" w:eastAsia="zh-CN" w:bidi="ar-SY"/>
        </w:rPr>
      </w:pPr>
    </w:p>
    <w:bookmarkEnd w:id="3"/>
    <w:p w:rsidR="00FD1E49" w:rsidRPr="00CA5FDC" w:rsidRDefault="00FD1E49" w:rsidP="00FD1E49">
      <w:pPr>
        <w:tabs>
          <w:tab w:val="left" w:pos="2910"/>
        </w:tabs>
        <w:bidi w:val="0"/>
        <w:rPr>
          <w:rFonts w:ascii="Arial" w:hAnsi="Arial" w:cs="Arial"/>
          <w:color w:val="006666"/>
          <w:sz w:val="36"/>
          <w:szCs w:val="36"/>
          <w:rtl/>
          <w:lang w:bidi="ar-EG"/>
        </w:rPr>
      </w:pPr>
    </w:p>
    <w:p w:rsidR="00FD1E49" w:rsidRPr="00DA5D93" w:rsidRDefault="00FD1E49" w:rsidP="00FD1E49">
      <w:pPr>
        <w:tabs>
          <w:tab w:val="left" w:pos="2910"/>
        </w:tabs>
        <w:bidi w:val="0"/>
        <w:rPr>
          <w:rFonts w:cstheme="minorHAnsi"/>
          <w:color w:val="006666"/>
          <w:sz w:val="36"/>
          <w:szCs w:val="36"/>
          <w:rtl/>
          <w:lang w:bidi="ar-EG"/>
        </w:rPr>
      </w:pPr>
    </w:p>
    <w:sectPr w:rsidR="00FD1E49" w:rsidRPr="00DA5D93" w:rsidSect="00CF6C11">
      <w:headerReference w:type="even" r:id="rId13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3E9" w:rsidRDefault="00A763E9" w:rsidP="00E32771">
      <w:pPr>
        <w:spacing w:after="0" w:line="240" w:lineRule="auto"/>
      </w:pPr>
      <w:r>
        <w:separator/>
      </w:r>
    </w:p>
  </w:endnote>
  <w:endnote w:type="continuationSeparator" w:id="0">
    <w:p w:rsidR="00A763E9" w:rsidRDefault="00A763E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B6D1CAD6-51FA-4A87-8A89-6F6CDA2B6A4E}"/>
    <w:embedBold r:id="rId2" w:fontKey="{9992E7B6-B965-464B-975A-EF0AEA185BC5}"/>
    <w:embedItalic r:id="rId3" w:fontKey="{517A10DB-658A-4E5F-B821-5A1480836D68}"/>
    <w:embedBoldItalic r:id="rId4" w:fontKey="{AFF300D4-3E8D-4845-9574-E8B0F13E6C27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5" w:fontKey="{26291CAA-E9A2-42B9-B0A7-2F01A69B0E57}"/>
    <w:embedBold r:id="rId6" w:fontKey="{A21B8961-6B35-471D-8E09-B16886E9D84D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7" w:fontKey="{4EC39E65-4416-4017-BA13-F630C836E73E}"/>
    <w:embedItalic r:id="rId8" w:fontKey="{F5615AC2-0F95-427A-945C-9C89FC7BB57F}"/>
    <w:embedBoldItalic r:id="rId9" w:fontKey="{423CB857-ABBB-4446-9EB4-37DE9C02D32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B6DDBA5C-8504-4E39-8461-17ABF0CB70C2}"/>
    <w:embedBold r:id="rId11" w:fontKey="{E07E43DC-8E70-4A3A-9A9E-1AC027688931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2" w:fontKey="{840C03E0-C41A-4D02-A738-C5CDD2B1988B}"/>
    <w:embedItalic r:id="rId13" w:fontKey="{5C0C9431-AB4C-40BC-A6FC-3DF6AAA06296}"/>
    <w:embedBoldItalic r:id="rId14" w:fontKey="{B80D2FFF-5058-40E1-B75E-18A7DAB2BE56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7EF5EF6D-672D-4963-935A-60A9A65539CC}"/>
  </w:font>
  <w:font w:name="Calibri Light">
    <w:altName w:val="Calibri"/>
    <w:panose1 w:val="020F030202020403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6" w:subsetted="1" w:fontKey="{37EDD48B-4323-4E28-B632-8DB34555486A}"/>
    <w:embedItalic r:id="rId17" w:subsetted="1" w:fontKey="{92357C5E-FBE0-4159-BDA5-5B6EA734AD98}"/>
    <w:embedBoldItalic r:id="rId18" w:subsetted="1" w:fontKey="{A2CE4D14-0CC9-4836-9772-9BD6EE54721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FFFE80F9-1C19-4494-8287-8BA0FF4C39CC}"/>
    <w:embedBold r:id="rId20" w:fontKey="{53BC31C4-9E76-45BF-9EBA-02CFD1663DE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1" w:fontKey="{C1983BB0-E598-4D66-9D6B-BE0572A42B0D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2" w:fontKey="{20FC3567-396B-451A-A317-4D0FAD8C9B19}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Bold r:id="rId23" w:fontKey="{0BA500CE-C0CC-41D4-BED7-89FA6C2E5FA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4" w:fontKey="{E6C5713C-B01E-4C91-A087-B00A9ABED94A}"/>
    <w:embedBold r:id="rId25" w:fontKey="{1C089FDE-B8E2-4B83-B542-C5BFF1C6E5B4}"/>
  </w:font>
  <w:font w:name="Adobe نسخ Medium">
    <w:altName w:val="Arial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Helvetica">
    <w:panose1 w:val="020B0504020202020204"/>
    <w:charset w:val="00"/>
    <w:family w:val="swiss"/>
    <w:pitch w:val="variable"/>
    <w:sig w:usb0="E0002AFF" w:usb1="00007843" w:usb2="00000001" w:usb3="00000000" w:csb0="000001FF" w:csb1="00000000"/>
    <w:embedRegular r:id="rId26" w:fontKey="{4168CC74-4298-4718-B04E-C5C2D676C5D8}"/>
    <w:embedBold r:id="rId27" w:fontKey="{CD9B5D33-57C7-4F73-A284-836284F093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  <w:rtl/>
      </w:rPr>
      <w:id w:val="141081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1E49" w:rsidRPr="005426F6" w:rsidRDefault="00FD1E49" w:rsidP="005426F6">
        <w:pPr>
          <w:pStyle w:val="Footer"/>
          <w:jc w:val="center"/>
          <w:rPr>
            <w:sz w:val="24"/>
            <w:szCs w:val="24"/>
          </w:rPr>
        </w:pPr>
        <w:r w:rsidRPr="005426F6">
          <w:rPr>
            <w:sz w:val="28"/>
            <w:szCs w:val="28"/>
          </w:rPr>
          <w:fldChar w:fldCharType="begin"/>
        </w:r>
        <w:r w:rsidRPr="005426F6">
          <w:rPr>
            <w:sz w:val="28"/>
            <w:szCs w:val="28"/>
          </w:rPr>
          <w:instrText xml:space="preserve"> PAGE   \* MERGEFORMAT </w:instrText>
        </w:r>
        <w:r w:rsidRPr="005426F6">
          <w:rPr>
            <w:sz w:val="28"/>
            <w:szCs w:val="28"/>
          </w:rPr>
          <w:fldChar w:fldCharType="separate"/>
        </w:r>
        <w:r w:rsidR="007107D2">
          <w:rPr>
            <w:noProof/>
            <w:sz w:val="28"/>
            <w:szCs w:val="28"/>
          </w:rPr>
          <w:t>5</w:t>
        </w:r>
        <w:r w:rsidRPr="005426F6">
          <w:rPr>
            <w:noProof/>
            <w:sz w:val="28"/>
            <w:szCs w:val="28"/>
          </w:rPr>
          <w:fldChar w:fldCharType="end"/>
        </w:r>
      </w:p>
    </w:sdtContent>
  </w:sdt>
  <w:p w:rsidR="00FD1E49" w:rsidRDefault="00FD1E49" w:rsidP="006D26A1">
    <w:pPr>
      <w:pStyle w:val="Footer"/>
      <w:tabs>
        <w:tab w:val="clear" w:pos="4153"/>
        <w:tab w:val="clear" w:pos="8306"/>
        <w:tab w:val="left" w:pos="3465"/>
        <w:tab w:val="left" w:pos="4449"/>
      </w:tabs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3E9" w:rsidRDefault="00A763E9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A763E9" w:rsidRDefault="00A763E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A763E9" w:rsidRDefault="00A763E9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49" w:rsidRDefault="00FD1E49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77450F08" wp14:editId="2F5E8FEE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E49" w:rsidRPr="00B71399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19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E49" w:rsidRPr="00A507EE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450F08" id="Group 7" o:spid="_x0000_s1026" style="position:absolute;left:0;text-align:left;margin-left:-12.1pt;margin-top:-23.7pt;width:339.75pt;height:28.95pt;z-index:251680768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" fillcolor="white [3201]" strokecolor="#385e66" strokeweight=".5pt">
                <v:textbox>
                  <w:txbxContent>
                    <w:p w:rsidR="00FD1E49" w:rsidRPr="00B71399" w:rsidRDefault="00FD1E49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" fillcolor="white [3212]" stroked="f">
                <v:textbox>
                  <w:txbxContent>
                    <w:p w:rsidR="00FD1E49" w:rsidRPr="00A507EE" w:rsidRDefault="00FD1E49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49" w:rsidRDefault="00FD1E49">
    <w:pPr>
      <w:pStyle w:val="Header"/>
      <w:rPr>
        <w:lang w:bidi="ar-EG"/>
      </w:rPr>
    </w:pPr>
    <w:r>
      <w:rPr>
        <w:noProof/>
        <w:lang w:bidi="ta-IN"/>
      </w:rPr>
      <w:drawing>
        <wp:anchor distT="0" distB="0" distL="114300" distR="114300" simplePos="0" relativeHeight="251679744" behindDoc="0" locked="0" layoutInCell="1" allowOverlap="1" wp14:anchorId="59C47833" wp14:editId="61441517">
          <wp:simplePos x="0" y="0"/>
          <wp:positionH relativeFrom="column">
            <wp:posOffset>-549940</wp:posOffset>
          </wp:positionH>
          <wp:positionV relativeFrom="paragraph">
            <wp:posOffset>-171450</wp:posOffset>
          </wp:positionV>
          <wp:extent cx="5433238" cy="265501"/>
          <wp:effectExtent l="0" t="0" r="0" b="127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3238" cy="26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A8B" w:rsidRDefault="006B4F4B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3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Dbn6DEtwMAAFQ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0E1BC6"/>
    <w:rsid w:val="00171C08"/>
    <w:rsid w:val="00184B62"/>
    <w:rsid w:val="00187D3B"/>
    <w:rsid w:val="001A0D79"/>
    <w:rsid w:val="001A32DC"/>
    <w:rsid w:val="001F4E86"/>
    <w:rsid w:val="002219E3"/>
    <w:rsid w:val="00223B3B"/>
    <w:rsid w:val="0023307B"/>
    <w:rsid w:val="00244087"/>
    <w:rsid w:val="00267C61"/>
    <w:rsid w:val="00270AE8"/>
    <w:rsid w:val="002B2FF1"/>
    <w:rsid w:val="002B662B"/>
    <w:rsid w:val="002C09FA"/>
    <w:rsid w:val="003072B2"/>
    <w:rsid w:val="00317B3C"/>
    <w:rsid w:val="003238D3"/>
    <w:rsid w:val="00347608"/>
    <w:rsid w:val="00357B1F"/>
    <w:rsid w:val="00372A0D"/>
    <w:rsid w:val="00385B2B"/>
    <w:rsid w:val="003906F7"/>
    <w:rsid w:val="003A3CDC"/>
    <w:rsid w:val="003E1AC6"/>
    <w:rsid w:val="00447B55"/>
    <w:rsid w:val="004C1156"/>
    <w:rsid w:val="004C2827"/>
    <w:rsid w:val="004C2F52"/>
    <w:rsid w:val="004E2A89"/>
    <w:rsid w:val="004E2AD6"/>
    <w:rsid w:val="004E38A0"/>
    <w:rsid w:val="004E78EF"/>
    <w:rsid w:val="00553A4B"/>
    <w:rsid w:val="00556722"/>
    <w:rsid w:val="005666DC"/>
    <w:rsid w:val="00575281"/>
    <w:rsid w:val="0058544F"/>
    <w:rsid w:val="005A2707"/>
    <w:rsid w:val="0060157E"/>
    <w:rsid w:val="00626D06"/>
    <w:rsid w:val="00662A2B"/>
    <w:rsid w:val="0069533C"/>
    <w:rsid w:val="006B4F4B"/>
    <w:rsid w:val="00705C71"/>
    <w:rsid w:val="007107D2"/>
    <w:rsid w:val="00717FAE"/>
    <w:rsid w:val="00742BE0"/>
    <w:rsid w:val="0076729A"/>
    <w:rsid w:val="0077162A"/>
    <w:rsid w:val="0077680D"/>
    <w:rsid w:val="00790C62"/>
    <w:rsid w:val="007963AA"/>
    <w:rsid w:val="007A15F5"/>
    <w:rsid w:val="007A33AB"/>
    <w:rsid w:val="007A373F"/>
    <w:rsid w:val="007E1A8B"/>
    <w:rsid w:val="007E5889"/>
    <w:rsid w:val="007E5A5E"/>
    <w:rsid w:val="007E70EB"/>
    <w:rsid w:val="00814452"/>
    <w:rsid w:val="008210B3"/>
    <w:rsid w:val="00853076"/>
    <w:rsid w:val="00855E30"/>
    <w:rsid w:val="00885CFF"/>
    <w:rsid w:val="008A2F5F"/>
    <w:rsid w:val="008A5781"/>
    <w:rsid w:val="008A58B6"/>
    <w:rsid w:val="008B3703"/>
    <w:rsid w:val="008D70C8"/>
    <w:rsid w:val="008E2038"/>
    <w:rsid w:val="008F371A"/>
    <w:rsid w:val="0090385D"/>
    <w:rsid w:val="00910AF4"/>
    <w:rsid w:val="00944C90"/>
    <w:rsid w:val="00946C80"/>
    <w:rsid w:val="009762D9"/>
    <w:rsid w:val="009967F9"/>
    <w:rsid w:val="00A021C5"/>
    <w:rsid w:val="00A052E1"/>
    <w:rsid w:val="00A0781B"/>
    <w:rsid w:val="00A26C77"/>
    <w:rsid w:val="00A507EE"/>
    <w:rsid w:val="00A61E5C"/>
    <w:rsid w:val="00A763E9"/>
    <w:rsid w:val="00AB4506"/>
    <w:rsid w:val="00AE6173"/>
    <w:rsid w:val="00AF1D7C"/>
    <w:rsid w:val="00B04BE4"/>
    <w:rsid w:val="00B21534"/>
    <w:rsid w:val="00B3510F"/>
    <w:rsid w:val="00B50A3A"/>
    <w:rsid w:val="00B71399"/>
    <w:rsid w:val="00B820AA"/>
    <w:rsid w:val="00BA456F"/>
    <w:rsid w:val="00BD190F"/>
    <w:rsid w:val="00BF04A9"/>
    <w:rsid w:val="00C03201"/>
    <w:rsid w:val="00C10E38"/>
    <w:rsid w:val="00C31855"/>
    <w:rsid w:val="00C37C22"/>
    <w:rsid w:val="00C408EE"/>
    <w:rsid w:val="00C72BD4"/>
    <w:rsid w:val="00CA5FDC"/>
    <w:rsid w:val="00CD4735"/>
    <w:rsid w:val="00CE6030"/>
    <w:rsid w:val="00CF693B"/>
    <w:rsid w:val="00CF6C11"/>
    <w:rsid w:val="00D06CFA"/>
    <w:rsid w:val="00D15CF7"/>
    <w:rsid w:val="00D2227B"/>
    <w:rsid w:val="00D46176"/>
    <w:rsid w:val="00D60EE0"/>
    <w:rsid w:val="00D849A2"/>
    <w:rsid w:val="00D85A5F"/>
    <w:rsid w:val="00DA3EF4"/>
    <w:rsid w:val="00DA5D93"/>
    <w:rsid w:val="00DC6A8E"/>
    <w:rsid w:val="00DE5862"/>
    <w:rsid w:val="00E25D4B"/>
    <w:rsid w:val="00E32771"/>
    <w:rsid w:val="00E3745F"/>
    <w:rsid w:val="00E5682B"/>
    <w:rsid w:val="00E710AA"/>
    <w:rsid w:val="00EB6A67"/>
    <w:rsid w:val="00EE5A20"/>
    <w:rsid w:val="00EE70E3"/>
    <w:rsid w:val="00F2420A"/>
    <w:rsid w:val="00F2570D"/>
    <w:rsid w:val="00F3173B"/>
    <w:rsid w:val="00F546CD"/>
    <w:rsid w:val="00F80820"/>
    <w:rsid w:val="00FC6D5A"/>
    <w:rsid w:val="00FD0CDE"/>
    <w:rsid w:val="00FD1E49"/>
    <w:rsid w:val="00FD4024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6A5E89-C255-40C0-B9F2-6DA968DF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39"/>
    <w:rsid w:val="00FD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E49"/>
    <w:pPr>
      <w:ind w:left="720"/>
      <w:contextualSpacing/>
    </w:pPr>
  </w:style>
  <w:style w:type="paragraph" w:styleId="NoSpacing">
    <w:name w:val="No Spacing"/>
    <w:uiPriority w:val="1"/>
    <w:qFormat/>
    <w:rsid w:val="00CA5FDC"/>
    <w:pPr>
      <w:bidi/>
      <w:spacing w:after="0" w:line="240" w:lineRule="auto"/>
    </w:pPr>
  </w:style>
  <w:style w:type="paragraph" w:styleId="NormalWeb">
    <w:name w:val="Normal (Web)"/>
    <w:basedOn w:val="Normal"/>
    <w:rsid w:val="00CA5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ar-S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91703-EA74-4E06-98A2-A25FEDEE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1056</Words>
  <Characters>6021</Characters>
  <Application>Microsoft Office Word</Application>
  <DocSecurity>0</DocSecurity>
  <Lines>50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7063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L’INTERDIZIONE DI DIGIUNARE NELLA SECONDA METÀ DI SHA᾿BĀN</dc:title>
  <dc:subject>L’INTERDIZIONE DI DIGIUNARE NELLA SECONDA METÀ DI SHA᾿BĀN</dc:subject>
  <dc:creator>Islam Q&amp;A_x000d_</dc:creator>
  <cp:keywords>L’INTERDIZIONE DI DIGIUNARE NELLA SECONDA METÀ DI SHA᾿BĀN</cp:keywords>
  <dc:description>L’INTERDIZIONE DI DIGIUNARE NELLA SECONDA METÀ DI SHA᾿BĀN</dc:description>
  <cp:lastModifiedBy>Mahmoud</cp:lastModifiedBy>
  <cp:revision>18</cp:revision>
  <cp:lastPrinted>2015-01-13T04:52:00Z</cp:lastPrinted>
  <dcterms:created xsi:type="dcterms:W3CDTF">2017-04-01T07:07:00Z</dcterms:created>
  <dcterms:modified xsi:type="dcterms:W3CDTF">2017-05-08T18:44:00Z</dcterms:modified>
  <cp:category/>
</cp:coreProperties>
</file>