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E24" w:rsidRPr="00AA32FA" w:rsidRDefault="00E61E24" w:rsidP="00AA32FA">
      <w:pPr>
        <w:shd w:val="clear" w:color="auto" w:fill="FFFFFF"/>
        <w:spacing w:after="120" w:line="240" w:lineRule="atLeast"/>
        <w:jc w:val="center"/>
        <w:outlineLvl w:val="0"/>
        <w:rPr>
          <w:rFonts w:ascii="Arial" w:eastAsia="Times New Roman" w:hAnsi="Arial" w:cs="Arial"/>
          <w:b/>
          <w:bCs/>
          <w:color w:val="800000"/>
          <w:kern w:val="36"/>
          <w:sz w:val="55"/>
          <w:szCs w:val="55"/>
          <w:lang w:val="pt-BR"/>
        </w:rPr>
      </w:pPr>
      <w:r w:rsidRPr="00AA32FA">
        <w:rPr>
          <w:rFonts w:ascii="Arial" w:eastAsia="Times New Roman" w:hAnsi="Arial" w:cs="Arial"/>
          <w:b/>
          <w:bCs/>
          <w:color w:val="800000"/>
          <w:kern w:val="36"/>
          <w:sz w:val="55"/>
          <w:szCs w:val="55"/>
          <w:lang w:val="pt-BR"/>
        </w:rPr>
        <w:t>Coisas Proibidas à Mulher Durante a Menstruação e o Pós Parto</w:t>
      </w:r>
    </w:p>
    <w:p w:rsidR="00E61E24" w:rsidRPr="00E61E24" w:rsidRDefault="00E61E24" w:rsidP="00E61E24">
      <w:pPr>
        <w:shd w:val="clear" w:color="auto" w:fill="FFFFFF"/>
        <w:spacing w:before="384" w:after="384" w:line="360" w:lineRule="atLeast"/>
        <w:jc w:val="both"/>
        <w:rPr>
          <w:rFonts w:ascii="Arial" w:eastAsia="Times New Roman" w:hAnsi="Arial" w:cs="Arial"/>
          <w:color w:val="555555"/>
          <w:sz w:val="21"/>
          <w:szCs w:val="21"/>
          <w:lang w:val="pt-BR"/>
        </w:rPr>
      </w:pPr>
      <w:r w:rsidRPr="00E61E24">
        <w:rPr>
          <w:rFonts w:ascii="Arial" w:eastAsia="Times New Roman" w:hAnsi="Arial" w:cs="Arial"/>
          <w:color w:val="555555"/>
          <w:sz w:val="21"/>
          <w:szCs w:val="21"/>
          <w:lang w:val="pt-BR"/>
        </w:rPr>
        <w:t>1) A oração, já que o Profeta disse:</w:t>
      </w:r>
    </w:p>
    <w:p w:rsidR="00E61E24" w:rsidRPr="00E61E24" w:rsidRDefault="00E61E24" w:rsidP="00E61E24">
      <w:pPr>
        <w:shd w:val="clear" w:color="auto" w:fill="FFFFFF"/>
        <w:spacing w:before="384" w:after="384" w:line="360" w:lineRule="atLeast"/>
        <w:jc w:val="both"/>
        <w:rPr>
          <w:rFonts w:ascii="Arial" w:eastAsia="Times New Roman" w:hAnsi="Arial" w:cs="Arial"/>
          <w:color w:val="555555"/>
          <w:sz w:val="21"/>
          <w:szCs w:val="21"/>
          <w:lang w:val="pt-BR"/>
        </w:rPr>
      </w:pPr>
      <w:r w:rsidRPr="00E61E24">
        <w:rPr>
          <w:rFonts w:ascii="Arial" w:eastAsia="Times New Roman" w:hAnsi="Arial" w:cs="Arial"/>
          <w:color w:val="555555"/>
          <w:sz w:val="21"/>
          <w:szCs w:val="21"/>
          <w:lang w:val="pt-BR"/>
        </w:rPr>
        <w:t>“Quando começar tua menstruação abandona a ora-ão”.(Narrado por Bukhari e Muslim)</w:t>
      </w:r>
    </w:p>
    <w:p w:rsidR="00E61E24" w:rsidRPr="00E61E24" w:rsidRDefault="00E61E24" w:rsidP="00E61E24">
      <w:pPr>
        <w:shd w:val="clear" w:color="auto" w:fill="FFFFFF"/>
        <w:spacing w:before="384" w:after="384" w:line="360" w:lineRule="atLeast"/>
        <w:jc w:val="both"/>
        <w:rPr>
          <w:rFonts w:ascii="Arial" w:eastAsia="Times New Roman" w:hAnsi="Arial" w:cs="Arial"/>
          <w:color w:val="555555"/>
          <w:sz w:val="21"/>
          <w:szCs w:val="21"/>
          <w:lang w:val="pt-BR"/>
        </w:rPr>
      </w:pPr>
      <w:r w:rsidRPr="00E61E24">
        <w:rPr>
          <w:rFonts w:ascii="Arial" w:eastAsia="Times New Roman" w:hAnsi="Arial" w:cs="Arial"/>
          <w:color w:val="555555"/>
          <w:sz w:val="21"/>
          <w:szCs w:val="21"/>
          <w:lang w:val="pt-BR"/>
        </w:rPr>
        <w:t>2) O Tawwaf (circundar ao redor da Kaaba), pois o Profeta disse:</w:t>
      </w:r>
    </w:p>
    <w:p w:rsidR="00E61E24" w:rsidRPr="00E61E24" w:rsidRDefault="00E61E24" w:rsidP="00E61E24">
      <w:pPr>
        <w:shd w:val="clear" w:color="auto" w:fill="FFFFFF"/>
        <w:spacing w:before="384" w:after="384" w:line="360" w:lineRule="atLeast"/>
        <w:jc w:val="both"/>
        <w:rPr>
          <w:rFonts w:ascii="Arial" w:eastAsia="Times New Roman" w:hAnsi="Arial" w:cs="Arial"/>
          <w:color w:val="555555"/>
          <w:sz w:val="21"/>
          <w:szCs w:val="21"/>
          <w:lang w:val="pt-BR"/>
        </w:rPr>
      </w:pPr>
      <w:r w:rsidRPr="00E61E24">
        <w:rPr>
          <w:rFonts w:ascii="Arial" w:eastAsia="Times New Roman" w:hAnsi="Arial" w:cs="Arial"/>
          <w:color w:val="555555"/>
          <w:sz w:val="21"/>
          <w:szCs w:val="21"/>
          <w:lang w:val="pt-BR"/>
        </w:rPr>
        <w:t>“Faça tudo o que faz um peregrino, porém não realize o Tawwaf ao redor da Casa até que te purifique” (Narradopor Bukhari e Muslim).</w:t>
      </w:r>
    </w:p>
    <w:p w:rsidR="00E61E24" w:rsidRPr="00E61E24" w:rsidRDefault="00E61E24" w:rsidP="00E61E24">
      <w:pPr>
        <w:shd w:val="clear" w:color="auto" w:fill="FFFFFF"/>
        <w:spacing w:before="384" w:after="384" w:line="360" w:lineRule="atLeast"/>
        <w:jc w:val="both"/>
        <w:rPr>
          <w:rFonts w:ascii="Arial" w:eastAsia="Times New Roman" w:hAnsi="Arial" w:cs="Arial"/>
          <w:color w:val="555555"/>
          <w:sz w:val="21"/>
          <w:szCs w:val="21"/>
          <w:lang w:val="pt-BR"/>
        </w:rPr>
      </w:pPr>
      <w:r w:rsidRPr="00E61E24">
        <w:rPr>
          <w:rFonts w:ascii="Arial" w:eastAsia="Times New Roman" w:hAnsi="Arial" w:cs="Arial"/>
          <w:color w:val="555555"/>
          <w:sz w:val="21"/>
          <w:szCs w:val="21"/>
          <w:lang w:val="pt-BR"/>
        </w:rPr>
        <w:t>3) Jejuar, conforme relatado por A’icha:</w:t>
      </w:r>
    </w:p>
    <w:p w:rsidR="00E61E24" w:rsidRPr="00E61E24" w:rsidRDefault="00E61E24" w:rsidP="00E61E24">
      <w:pPr>
        <w:shd w:val="clear" w:color="auto" w:fill="FFFFFF"/>
        <w:spacing w:before="384" w:after="384" w:line="360" w:lineRule="atLeast"/>
        <w:jc w:val="both"/>
        <w:rPr>
          <w:rFonts w:ascii="Arial" w:eastAsia="Times New Roman" w:hAnsi="Arial" w:cs="Arial"/>
          <w:color w:val="555555"/>
          <w:sz w:val="21"/>
          <w:szCs w:val="21"/>
          <w:lang w:val="pt-BR"/>
        </w:rPr>
      </w:pPr>
      <w:r w:rsidRPr="00E61E24">
        <w:rPr>
          <w:rFonts w:ascii="Arial" w:eastAsia="Times New Roman" w:hAnsi="Arial" w:cs="Arial"/>
          <w:color w:val="555555"/>
          <w:sz w:val="21"/>
          <w:szCs w:val="21"/>
          <w:lang w:val="pt-BR"/>
        </w:rPr>
        <w:t>“Quando menstruávamos (durante a vida do Profeta) nos pediram que recuperássemos o jejum do Ramadan e não nos pediram que recuperássemos a oração”. (Narrado por Bukhari e Muslim)</w:t>
      </w:r>
    </w:p>
    <w:p w:rsidR="00E61E24" w:rsidRPr="00E61E24" w:rsidRDefault="00E61E24" w:rsidP="00E61E24">
      <w:pPr>
        <w:shd w:val="clear" w:color="auto" w:fill="FFFFFF"/>
        <w:spacing w:before="384" w:after="384" w:line="360" w:lineRule="atLeast"/>
        <w:jc w:val="both"/>
        <w:rPr>
          <w:rFonts w:ascii="Arial" w:eastAsia="Times New Roman" w:hAnsi="Arial" w:cs="Arial"/>
          <w:color w:val="555555"/>
          <w:sz w:val="21"/>
          <w:szCs w:val="21"/>
          <w:lang w:val="pt-BR"/>
        </w:rPr>
      </w:pPr>
      <w:r w:rsidRPr="00E61E24">
        <w:rPr>
          <w:rFonts w:ascii="Arial" w:eastAsia="Times New Roman" w:hAnsi="Arial" w:cs="Arial"/>
          <w:color w:val="555555"/>
          <w:sz w:val="21"/>
          <w:szCs w:val="21"/>
          <w:lang w:val="pt-BR"/>
        </w:rPr>
        <w:t>4) Permanecer sentada nas mesquitas, incluindo o lugar onde se realiza a oração do Eid, baseado no seguinte hadith:</w:t>
      </w:r>
    </w:p>
    <w:p w:rsidR="00E61E24" w:rsidRPr="00E61E24" w:rsidRDefault="00E61E24" w:rsidP="00E61E24">
      <w:pPr>
        <w:shd w:val="clear" w:color="auto" w:fill="FFFFFF"/>
        <w:spacing w:before="384" w:after="384" w:line="360" w:lineRule="atLeast"/>
        <w:jc w:val="both"/>
        <w:rPr>
          <w:rFonts w:ascii="Arial" w:eastAsia="Times New Roman" w:hAnsi="Arial" w:cs="Arial"/>
          <w:color w:val="555555"/>
          <w:sz w:val="21"/>
          <w:szCs w:val="21"/>
          <w:lang w:val="pt-BR"/>
        </w:rPr>
      </w:pPr>
      <w:r w:rsidRPr="00E61E24">
        <w:rPr>
          <w:rFonts w:ascii="Arial" w:eastAsia="Times New Roman" w:hAnsi="Arial" w:cs="Arial"/>
          <w:color w:val="555555"/>
          <w:sz w:val="21"/>
          <w:szCs w:val="21"/>
          <w:lang w:val="pt-BR"/>
        </w:rPr>
        <w:t>Que saiam as solteiras, as recatadas, as menstruadas e assistam o bem e a invocação dos crentes (a oração do Eid) porém as menstruadas saiam da parte do musalla (lugar da oração).”(Narrado por Bukhari e Muslim)</w:t>
      </w:r>
    </w:p>
    <w:p w:rsidR="00E61E24" w:rsidRPr="00E61E24" w:rsidRDefault="00E61E24" w:rsidP="00E61E24">
      <w:pPr>
        <w:shd w:val="clear" w:color="auto" w:fill="FFFFFF"/>
        <w:spacing w:before="384" w:after="384" w:line="360" w:lineRule="atLeast"/>
        <w:jc w:val="both"/>
        <w:rPr>
          <w:rFonts w:ascii="Arial" w:eastAsia="Times New Roman" w:hAnsi="Arial" w:cs="Arial"/>
          <w:color w:val="555555"/>
          <w:sz w:val="21"/>
          <w:szCs w:val="21"/>
          <w:lang w:val="pt-BR"/>
        </w:rPr>
      </w:pPr>
      <w:r w:rsidRPr="00E61E24">
        <w:rPr>
          <w:rFonts w:ascii="Arial" w:eastAsia="Times New Roman" w:hAnsi="Arial" w:cs="Arial"/>
          <w:color w:val="555555"/>
          <w:sz w:val="21"/>
          <w:szCs w:val="21"/>
          <w:lang w:val="pt-BR"/>
        </w:rPr>
        <w:t xml:space="preserve">5) As relações sexuais: é proibido ao marido tentar manter relações sexuais com sua esposa quando esta se encontra menstruando, e também é proibido para ela permitir tal ato, baseado no que disse Allah: “Consultar-te-ão acerca da menstruação; dize-lhes: É uma impureza. Abstende-vos, pois, das mulheres durante a menstruação e não vos acerqueis delas até que se purifiquem; quando estiverem purificadas, aproximai-vos então delas, como Deus vos tem disposto, porque Ele estima os que arrependem e cuidam da purificação”. (Surata 2:222) A palavra al-mahid, mencionada no versículo, inclui ambos significados: o tempo em que ocorre a menstruação e o lugar por onde flui (quer dizer, a vagina). O Profeta disse: “Faca o que queiram exceto a penetração”. (Relatado por Muslim) O Imam Nawawi em seu livro Al Majmu’ menciona o dito do Imam Shafi’i: “Quem faz tal coisa comete um </w:t>
      </w:r>
      <w:r w:rsidRPr="00E61E24">
        <w:rPr>
          <w:rFonts w:ascii="Arial" w:eastAsia="Times New Roman" w:hAnsi="Arial" w:cs="Arial"/>
          <w:color w:val="555555"/>
          <w:sz w:val="21"/>
          <w:szCs w:val="21"/>
          <w:lang w:val="pt-BR"/>
        </w:rPr>
        <w:lastRenderedPageBreak/>
        <w:t>pecado maior”. E Nawawi disse: Nossos companheiros (quer dizer os sábios de Fiqh Shafe’i) e outros sábios disseram: “Quem disser que m</w:t>
      </w:r>
      <w:bookmarkStart w:id="0" w:name="_GoBack"/>
      <w:bookmarkEnd w:id="0"/>
      <w:r w:rsidRPr="00E61E24">
        <w:rPr>
          <w:rFonts w:ascii="Arial" w:eastAsia="Times New Roman" w:hAnsi="Arial" w:cs="Arial"/>
          <w:color w:val="555555"/>
          <w:sz w:val="21"/>
          <w:szCs w:val="21"/>
          <w:lang w:val="pt-BR"/>
        </w:rPr>
        <w:t>anter relações com uma mulher menstruando é permitido, deve ser julgado como incrédulo”.</w:t>
      </w:r>
    </w:p>
    <w:p w:rsidR="00E61E24" w:rsidRPr="00E61E24" w:rsidRDefault="00E61E24" w:rsidP="00E61E24">
      <w:pPr>
        <w:shd w:val="clear" w:color="auto" w:fill="FFFFFF"/>
        <w:spacing w:before="384" w:after="384" w:line="360" w:lineRule="atLeast"/>
        <w:jc w:val="both"/>
        <w:rPr>
          <w:rFonts w:ascii="Arial" w:eastAsia="Times New Roman" w:hAnsi="Arial" w:cs="Arial"/>
          <w:color w:val="555555"/>
          <w:sz w:val="21"/>
          <w:szCs w:val="21"/>
          <w:lang w:val="pt-BR"/>
        </w:rPr>
      </w:pPr>
      <w:r w:rsidRPr="00E61E24">
        <w:rPr>
          <w:rFonts w:ascii="Arial" w:eastAsia="Times New Roman" w:hAnsi="Arial" w:cs="Arial"/>
          <w:color w:val="555555"/>
          <w:sz w:val="21"/>
          <w:szCs w:val="21"/>
          <w:lang w:val="pt-BR"/>
        </w:rPr>
        <w:t>É necessário mencionar que é permitido para o casal os beijos, abraços, tocar em qualquer parte da esposa exceto a parte púbica, porem é melhor evitar a parte entre o umbigo e os joelhos, isto baseado em um dito de A’icha:</w:t>
      </w:r>
    </w:p>
    <w:p w:rsidR="00E61E24" w:rsidRPr="00E61E24" w:rsidRDefault="00E61E24" w:rsidP="00E61E24">
      <w:pPr>
        <w:shd w:val="clear" w:color="auto" w:fill="FFFFFF"/>
        <w:spacing w:before="384" w:after="384" w:line="360" w:lineRule="atLeast"/>
        <w:jc w:val="both"/>
        <w:rPr>
          <w:rFonts w:ascii="Arial" w:eastAsia="Times New Roman" w:hAnsi="Arial" w:cs="Arial"/>
          <w:color w:val="555555"/>
          <w:sz w:val="21"/>
          <w:szCs w:val="21"/>
          <w:lang w:val="pt-BR"/>
        </w:rPr>
      </w:pPr>
      <w:r w:rsidRPr="00E61E24">
        <w:rPr>
          <w:rFonts w:ascii="Arial" w:eastAsia="Times New Roman" w:hAnsi="Arial" w:cs="Arial"/>
          <w:color w:val="555555"/>
          <w:sz w:val="21"/>
          <w:szCs w:val="21"/>
          <w:lang w:val="pt-BR"/>
        </w:rPr>
        <w:t>“O Profeta pedia que me envolvesse em uma saia ao redor da cintura e nos acariciávamos enquanto eu estava menstruando ”. (Narrado por Bukhari e Muslim)</w:t>
      </w:r>
    </w:p>
    <w:p w:rsidR="00E61E24" w:rsidRPr="00E61E24" w:rsidRDefault="00E61E24" w:rsidP="00E61E24">
      <w:pPr>
        <w:shd w:val="clear" w:color="auto" w:fill="FFFFFF"/>
        <w:spacing w:before="384" w:after="384" w:line="360" w:lineRule="atLeast"/>
        <w:jc w:val="both"/>
        <w:rPr>
          <w:rFonts w:ascii="Arial" w:eastAsia="Times New Roman" w:hAnsi="Arial" w:cs="Arial"/>
          <w:color w:val="555555"/>
          <w:sz w:val="21"/>
          <w:szCs w:val="21"/>
          <w:lang w:val="pt-BR"/>
        </w:rPr>
      </w:pPr>
      <w:r w:rsidRPr="00E61E24">
        <w:rPr>
          <w:rFonts w:ascii="Arial" w:eastAsia="Times New Roman" w:hAnsi="Arial" w:cs="Arial"/>
          <w:color w:val="555555"/>
          <w:sz w:val="21"/>
          <w:szCs w:val="21"/>
          <w:lang w:val="pt-BR"/>
        </w:rPr>
        <w:t>6) A recitação do Qur’an: O Sheikh Mohammad Saleh Al Uthaimin em seu livro “Os Preceitos Religiosos da Menstruação, metrorralgia e o Pós parto”, disse, depois de reconhecer a diferença de opinião entre os sábios neste assunto: “É melhor para uma mulher menstruando não recitar o Qur’na em voz alta, exceto se existe uma necessidade para isto. Por exemplo, se ela ensina o Qur’an, e tem que dar aulas a suas alunas, ou se uma aluna tem que fazer um teste sobre sua recitação do Qur’an, etc”. E quanto ao Dhikr, dizer Allahu Akbar, Subhana Allah, Al Hamdulillah, Bismillah antes de comer ou antes de qualquer outra ação, ler hadith ou questões de Fiqh, fazer Du’a, dizer Amin ao final do Du’a de outra pessoa ou escutar o Qur’an, não está proibido para a mulher menstruada. “O Profeta descansava no colo de A’icha enquanto ela estava menstruada, e ele recitava o Qur’an”. (Narrado por Bukhari e Muslim)</w:t>
      </w:r>
    </w:p>
    <w:p w:rsidR="00D8007C" w:rsidRDefault="00D8007C"/>
    <w:sectPr w:rsidR="00D800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24"/>
    <w:rsid w:val="00AA32FA"/>
    <w:rsid w:val="00D8007C"/>
    <w:rsid w:val="00E61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99B87-A1DC-4355-B77F-15585BE2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278871">
      <w:bodyDiv w:val="1"/>
      <w:marLeft w:val="0"/>
      <w:marRight w:val="0"/>
      <w:marTop w:val="0"/>
      <w:marBottom w:val="0"/>
      <w:divBdr>
        <w:top w:val="none" w:sz="0" w:space="0" w:color="auto"/>
        <w:left w:val="none" w:sz="0" w:space="0" w:color="auto"/>
        <w:bottom w:val="none" w:sz="0" w:space="0" w:color="auto"/>
        <w:right w:val="none" w:sz="0" w:space="0" w:color="auto"/>
      </w:divBdr>
      <w:divsChild>
        <w:div w:id="1528911433">
          <w:marLeft w:val="0"/>
          <w:marRight w:val="0"/>
          <w:marTop w:val="0"/>
          <w:marBottom w:val="0"/>
          <w:divBdr>
            <w:top w:val="none" w:sz="0" w:space="0" w:color="auto"/>
            <w:left w:val="none" w:sz="0" w:space="0" w:color="auto"/>
            <w:bottom w:val="none" w:sz="0" w:space="0" w:color="auto"/>
            <w:right w:val="none" w:sz="0" w:space="0" w:color="auto"/>
          </w:divBdr>
          <w:divsChild>
            <w:div w:id="534850712">
              <w:marLeft w:val="0"/>
              <w:marRight w:val="0"/>
              <w:marTop w:val="300"/>
              <w:marBottom w:val="300"/>
              <w:divBdr>
                <w:top w:val="single" w:sz="6" w:space="0" w:color="E5E5E5"/>
                <w:left w:val="single" w:sz="6" w:space="15" w:color="E5E5E5"/>
                <w:bottom w:val="single" w:sz="6" w:space="15" w:color="E5E5E5"/>
                <w:right w:val="single" w:sz="6" w:space="15" w:color="E5E5E5"/>
              </w:divBdr>
              <w:divsChild>
                <w:div w:id="2135440429">
                  <w:marLeft w:val="0"/>
                  <w:marRight w:val="0"/>
                  <w:marTop w:val="600"/>
                  <w:marBottom w:val="300"/>
                  <w:divBdr>
                    <w:top w:val="none" w:sz="0" w:space="0" w:color="auto"/>
                    <w:left w:val="none" w:sz="0" w:space="0" w:color="auto"/>
                    <w:bottom w:val="none" w:sz="0" w:space="0" w:color="auto"/>
                    <w:right w:val="none" w:sz="0" w:space="0" w:color="auto"/>
                  </w:divBdr>
                  <w:divsChild>
                    <w:div w:id="97256818">
                      <w:marLeft w:val="0"/>
                      <w:marRight w:val="0"/>
                      <w:marTop w:val="0"/>
                      <w:marBottom w:val="0"/>
                      <w:divBdr>
                        <w:top w:val="none" w:sz="0" w:space="0" w:color="auto"/>
                        <w:left w:val="none" w:sz="0" w:space="0" w:color="auto"/>
                        <w:bottom w:val="none" w:sz="0" w:space="0" w:color="auto"/>
                        <w:right w:val="none" w:sz="0" w:space="0" w:color="auto"/>
                      </w:divBdr>
                      <w:divsChild>
                        <w:div w:id="191751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2744</Characters>
  <Application>Microsoft Office Word</Application>
  <DocSecurity>0</DocSecurity>
  <Lines>42</Lines>
  <Paragraphs>13</Paragraphs>
  <ScaleCrop>false</ScaleCrop>
  <Manager/>
  <Company>islamhouse.com</Company>
  <LinksUpToDate>false</LinksUpToDate>
  <CharactersWithSpaces>3284</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Coisas Proibidas à Mulher Durante a Menstruação e o Pós Parto</dc:title>
  <dc:subject>Coisas Proibidas à Mulher Durante a Menstruação e o Pós Parto</dc:subject>
  <dc:creator>muhammad fakir</dc:creator>
  <cp:keywords>Coisas Proibidas à Mulher Durante a Menstruação e o Pós Parto</cp:keywords>
  <dc:description>Coisas Proibidas à Mulher Durante a Menstruação e o Pós Parto</dc:description>
  <cp:lastModifiedBy>elhashemy</cp:lastModifiedBy>
  <cp:revision>3</cp:revision>
  <dcterms:created xsi:type="dcterms:W3CDTF">2014-12-30T06:13:00Z</dcterms:created>
  <dcterms:modified xsi:type="dcterms:W3CDTF">2015-03-11T12:16:00Z</dcterms:modified>
  <cp:category/>
</cp:coreProperties>
</file>