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2493" w:rsidRDefault="001D2493">
      <w:pPr>
        <w:jc w:val="center"/>
      </w:pPr>
    </w:p>
    <w:p w:rsidR="001D2493" w:rsidRDefault="001D2493">
      <w:pPr>
        <w:jc w:val="center"/>
      </w:pPr>
    </w:p>
    <w:p w:rsidR="001D2493" w:rsidRPr="00DB7C60" w:rsidRDefault="00310C7B">
      <w:pPr>
        <w:spacing w:line="240" w:lineRule="auto"/>
        <w:jc w:val="center"/>
        <w:rPr>
          <w:sz w:val="48"/>
          <w:szCs w:val="48"/>
        </w:rPr>
      </w:pPr>
      <w:proofErr w:type="spellStart"/>
      <w:r w:rsidRPr="00DB7C60">
        <w:rPr>
          <w:rFonts w:ascii="LiSu" w:eastAsia="LiSu" w:hAnsi="LiSu" w:cs="LiSu"/>
          <w:color w:val="008080"/>
          <w:sz w:val="48"/>
          <w:szCs w:val="48"/>
        </w:rPr>
        <w:t>什叶派和逊尼派之间的</w:t>
      </w:r>
      <w:proofErr w:type="spellEnd"/>
    </w:p>
    <w:p w:rsidR="001D2493" w:rsidRPr="00DB7C60" w:rsidRDefault="00310C7B">
      <w:pPr>
        <w:spacing w:line="240" w:lineRule="auto"/>
        <w:jc w:val="center"/>
        <w:rPr>
          <w:sz w:val="48"/>
          <w:szCs w:val="48"/>
        </w:rPr>
      </w:pPr>
      <w:proofErr w:type="spellStart"/>
      <w:r w:rsidRPr="00DB7C60">
        <w:rPr>
          <w:rFonts w:ascii="LiSu" w:eastAsia="LiSu" w:hAnsi="LiSu" w:cs="LiSu"/>
          <w:color w:val="008080"/>
          <w:sz w:val="48"/>
          <w:szCs w:val="48"/>
        </w:rPr>
        <w:t>敌意和善意、讹传和误解</w:t>
      </w:r>
      <w:proofErr w:type="spellEnd"/>
    </w:p>
    <w:p w:rsidR="001D2493" w:rsidRDefault="001D2493">
      <w:pPr>
        <w:spacing w:after="0" w:line="240" w:lineRule="auto"/>
        <w:ind w:firstLine="113"/>
        <w:jc w:val="center"/>
      </w:pPr>
    </w:p>
    <w:p w:rsidR="001D2493" w:rsidRPr="00DB7C60" w:rsidRDefault="003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KFGQPC Uthman Taha Naskh"/>
        </w:rPr>
      </w:pPr>
      <w:bookmarkStart w:id="0" w:name="h.gjdgxs" w:colFirst="0" w:colLast="0"/>
      <w:bookmarkEnd w:id="0"/>
      <w:r w:rsidRPr="00DB7C60">
        <w:rPr>
          <w:rFonts w:ascii="Aldhabi" w:eastAsia="Aldhabi" w:hAnsi="Aldhabi" w:cs="KFGQPC Uthman Taha Naskh"/>
          <w:color w:val="212121"/>
          <w:sz w:val="48"/>
          <w:szCs w:val="48"/>
          <w:rtl/>
        </w:rPr>
        <w:t>التضليل وسوء الفهم بين الشيعة و السنة</w:t>
      </w:r>
    </w:p>
    <w:p w:rsidR="001D2493" w:rsidRDefault="001D2493">
      <w:pPr>
        <w:spacing w:after="0" w:line="240" w:lineRule="auto"/>
        <w:ind w:firstLine="113"/>
        <w:jc w:val="center"/>
      </w:pPr>
    </w:p>
    <w:p w:rsidR="001D2493" w:rsidRDefault="001D2493">
      <w:pPr>
        <w:spacing w:after="0" w:line="240" w:lineRule="auto"/>
        <w:ind w:firstLine="113"/>
        <w:jc w:val="center"/>
      </w:pPr>
    </w:p>
    <w:p w:rsidR="001D2493" w:rsidRDefault="001D2493">
      <w:pPr>
        <w:spacing w:after="0" w:line="240" w:lineRule="auto"/>
        <w:ind w:firstLine="113"/>
        <w:jc w:val="center"/>
      </w:pPr>
    </w:p>
    <w:p w:rsidR="001D2493" w:rsidRDefault="001D2493">
      <w:pPr>
        <w:spacing w:after="0" w:line="240" w:lineRule="auto"/>
        <w:ind w:firstLine="113"/>
        <w:jc w:val="center"/>
      </w:pPr>
    </w:p>
    <w:p w:rsidR="001D2493" w:rsidRDefault="00310C7B">
      <w:pPr>
        <w:spacing w:after="0" w:line="240" w:lineRule="auto"/>
        <w:ind w:firstLine="113"/>
        <w:jc w:val="center"/>
      </w:pPr>
      <w:r>
        <w:rPr>
          <w:rFonts w:ascii="Times New Roman" w:eastAsia="Times New Roman" w:hAnsi="Times New Roman" w:cs="Times New Roman"/>
          <w:color w:val="808080"/>
          <w:sz w:val="28"/>
          <w:szCs w:val="28"/>
          <w:rtl/>
        </w:rPr>
        <w:t>&lt;اللغة الصينية &gt;</w:t>
      </w:r>
      <w:r>
        <w:rPr>
          <w:noProof/>
        </w:rPr>
        <w:drawing>
          <wp:anchor distT="0" distB="0" distL="114300" distR="114300" simplePos="0" relativeHeight="251658240" behindDoc="0" locked="0" layoutInCell="0" hidden="0" allowOverlap="0">
            <wp:simplePos x="0" y="0"/>
            <wp:positionH relativeFrom="margin">
              <wp:posOffset>1132713</wp:posOffset>
            </wp:positionH>
            <wp:positionV relativeFrom="paragraph">
              <wp:posOffset>43307</wp:posOffset>
            </wp:positionV>
            <wp:extent cx="3253105" cy="47307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253105" cy="473075"/>
                    </a:xfrm>
                    <a:prstGeom prst="rect">
                      <a:avLst/>
                    </a:prstGeom>
                    <a:ln/>
                  </pic:spPr>
                </pic:pic>
              </a:graphicData>
            </a:graphic>
          </wp:anchor>
        </w:drawing>
      </w:r>
    </w:p>
    <w:p w:rsidR="001D2493" w:rsidRDefault="001D2493">
      <w:pPr>
        <w:jc w:val="center"/>
      </w:pPr>
    </w:p>
    <w:p w:rsidR="001D2493" w:rsidRDefault="00310C7B">
      <w:pPr>
        <w:tabs>
          <w:tab w:val="left" w:pos="753"/>
          <w:tab w:val="center" w:pos="3968"/>
        </w:tabs>
      </w:pPr>
      <w:r>
        <w:rPr>
          <w:rFonts w:ascii="Times New Roman" w:eastAsia="Times New Roman" w:hAnsi="Times New Roman" w:cs="Times New Roman"/>
          <w:color w:val="5EA1A5"/>
          <w:sz w:val="100"/>
          <w:szCs w:val="100"/>
        </w:rPr>
        <w:tab/>
      </w:r>
      <w:r>
        <w:rPr>
          <w:rFonts w:ascii="Times New Roman" w:eastAsia="Times New Roman" w:hAnsi="Times New Roman" w:cs="Times New Roman"/>
          <w:color w:val="5EA1A5"/>
          <w:sz w:val="160"/>
          <w:szCs w:val="160"/>
        </w:rPr>
        <w:tab/>
      </w:r>
    </w:p>
    <w:p w:rsidR="001D2493" w:rsidRDefault="001D2493"/>
    <w:p w:rsidR="001D2493" w:rsidRDefault="00310C7B">
      <w:pPr>
        <w:jc w:val="center"/>
      </w:pPr>
      <w:r>
        <w:rPr>
          <w:rFonts w:ascii="Wingdings" w:eastAsia="Wingdings" w:hAnsi="Wingdings" w:cs="Wingdings"/>
          <w:color w:val="7F7F7F"/>
          <w:sz w:val="52"/>
          <w:szCs w:val="52"/>
        </w:rPr>
        <w:t>❧❧</w:t>
      </w:r>
    </w:p>
    <w:p w:rsidR="001D2493" w:rsidRDefault="001D2493">
      <w:pPr>
        <w:jc w:val="center"/>
      </w:pPr>
    </w:p>
    <w:p w:rsidR="001D2493" w:rsidRDefault="001D2493">
      <w:pPr>
        <w:jc w:val="center"/>
      </w:pPr>
    </w:p>
    <w:p w:rsidR="001D2493" w:rsidRDefault="001D2493">
      <w:pPr>
        <w:jc w:val="center"/>
      </w:pPr>
    </w:p>
    <w:p w:rsidR="001D2493" w:rsidRDefault="001D2493">
      <w:pPr>
        <w:jc w:val="center"/>
      </w:pPr>
    </w:p>
    <w:p w:rsidR="001D2493" w:rsidRDefault="001D2493">
      <w:pPr>
        <w:jc w:val="center"/>
      </w:pPr>
    </w:p>
    <w:p w:rsidR="001D2493" w:rsidRDefault="001D2493">
      <w:pPr>
        <w:jc w:val="center"/>
      </w:pPr>
    </w:p>
    <w:p w:rsidR="001D2493" w:rsidRDefault="001D2493">
      <w:pPr>
        <w:jc w:val="center"/>
      </w:pPr>
    </w:p>
    <w:p w:rsidR="001D2493" w:rsidRDefault="00310C7B">
      <w:pPr>
        <w:spacing w:after="0" w:line="240" w:lineRule="auto"/>
        <w:ind w:firstLine="113"/>
        <w:jc w:val="center"/>
      </w:pPr>
      <w:proofErr w:type="spellStart"/>
      <w:r>
        <w:rPr>
          <w:rFonts w:ascii="SimSun" w:eastAsia="SimSun" w:hAnsi="SimSun" w:cs="SimSun"/>
          <w:color w:val="006666"/>
          <w:sz w:val="40"/>
          <w:szCs w:val="40"/>
        </w:rPr>
        <w:t>编审：伊斯兰之家中文小组</w:t>
      </w:r>
      <w:proofErr w:type="spellEnd"/>
    </w:p>
    <w:p w:rsidR="001D2493" w:rsidRDefault="001D2493">
      <w:pPr>
        <w:jc w:val="center"/>
      </w:pPr>
    </w:p>
    <w:p w:rsidR="001D2493" w:rsidRDefault="00310C7B">
      <w:pPr>
        <w:spacing w:after="0" w:line="240" w:lineRule="auto"/>
        <w:ind w:firstLine="11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مراجعة: فريق اللغة الصينية بموقع دار الإسلام</w:t>
      </w:r>
      <w:r w:rsidR="00C81AE5">
        <w:rPr>
          <w:rFonts w:ascii="Times New Roman" w:eastAsia="Times New Roman" w:hAnsi="Times New Roman" w:cs="Times New Roman"/>
          <w:b/>
          <w:sz w:val="32"/>
          <w:szCs w:val="32"/>
        </w:rPr>
        <w:br/>
      </w:r>
    </w:p>
    <w:p w:rsidR="00C81AE5" w:rsidRDefault="00C81AE5">
      <w:pPr>
        <w:spacing w:after="0" w:line="240" w:lineRule="auto"/>
        <w:ind w:firstLine="113"/>
        <w:jc w:val="center"/>
        <w:rPr>
          <w:rFonts w:ascii="Times New Roman" w:eastAsia="Times New Roman" w:hAnsi="Times New Roman" w:cs="Times New Roman"/>
          <w:b/>
          <w:sz w:val="32"/>
          <w:szCs w:val="32"/>
        </w:rPr>
      </w:pPr>
    </w:p>
    <w:p w:rsidR="00C81AE5" w:rsidRDefault="00C81AE5">
      <w:pPr>
        <w:spacing w:after="0" w:line="240" w:lineRule="auto"/>
        <w:ind w:firstLine="113"/>
        <w:jc w:val="center"/>
        <w:rPr>
          <w:rFonts w:ascii="Times New Roman" w:eastAsia="Times New Roman" w:hAnsi="Times New Roman" w:cs="Times New Roman"/>
          <w:b/>
          <w:sz w:val="32"/>
          <w:szCs w:val="32"/>
        </w:rPr>
      </w:pPr>
    </w:p>
    <w:p w:rsidR="00C81AE5" w:rsidRDefault="00C81AE5">
      <w:pPr>
        <w:spacing w:after="0" w:line="240" w:lineRule="auto"/>
        <w:ind w:firstLine="113"/>
        <w:jc w:val="center"/>
        <w:rPr>
          <w:rFonts w:ascii="Times New Roman" w:eastAsia="Times New Roman" w:hAnsi="Times New Roman" w:cs="Times New Roman"/>
          <w:b/>
          <w:sz w:val="32"/>
          <w:szCs w:val="32"/>
        </w:rPr>
      </w:pPr>
    </w:p>
    <w:p w:rsidR="00C81AE5" w:rsidRDefault="00C81AE5">
      <w:pPr>
        <w:spacing w:after="0" w:line="240" w:lineRule="auto"/>
        <w:ind w:firstLine="113"/>
        <w:jc w:val="center"/>
        <w:rPr>
          <w:rFonts w:ascii="Times New Roman" w:eastAsia="Times New Roman" w:hAnsi="Times New Roman" w:cs="Times New Roman"/>
          <w:b/>
          <w:sz w:val="32"/>
          <w:szCs w:val="32"/>
        </w:rPr>
      </w:pPr>
    </w:p>
    <w:p w:rsidR="00C81AE5" w:rsidRDefault="00C81AE5">
      <w:pPr>
        <w:spacing w:after="0" w:line="240" w:lineRule="auto"/>
        <w:ind w:firstLine="113"/>
        <w:jc w:val="center"/>
      </w:pPr>
    </w:p>
    <w:p w:rsidR="001D2493" w:rsidRDefault="00310C7B">
      <w:pPr>
        <w:jc w:val="center"/>
      </w:pPr>
      <w:proofErr w:type="spellStart"/>
      <w:r>
        <w:rPr>
          <w:rFonts w:ascii="SimSun" w:eastAsia="SimSun" w:hAnsi="SimSun" w:cs="SimSun"/>
          <w:color w:val="006666"/>
          <w:sz w:val="36"/>
          <w:szCs w:val="36"/>
        </w:rPr>
        <w:lastRenderedPageBreak/>
        <w:t>什叶派和逊尼派之间的</w:t>
      </w:r>
      <w:proofErr w:type="spellEnd"/>
    </w:p>
    <w:p w:rsidR="001D2493" w:rsidRDefault="00310C7B">
      <w:pPr>
        <w:jc w:val="center"/>
      </w:pPr>
      <w:proofErr w:type="spellStart"/>
      <w:r>
        <w:rPr>
          <w:rFonts w:ascii="SimSun" w:eastAsia="SimSun" w:hAnsi="SimSun" w:cs="SimSun"/>
          <w:color w:val="006666"/>
          <w:sz w:val="36"/>
          <w:szCs w:val="36"/>
        </w:rPr>
        <w:t>敌意和善意、讹传和误解</w:t>
      </w:r>
      <w:proofErr w:type="spellEnd"/>
      <w:r>
        <w:rPr>
          <w:noProof/>
        </w:rPr>
        <w:drawing>
          <wp:anchor distT="0" distB="0" distL="114300" distR="114300" simplePos="0" relativeHeight="251659264" behindDoc="0" locked="0" layoutInCell="0" hidden="0" allowOverlap="0">
            <wp:simplePos x="0" y="0"/>
            <wp:positionH relativeFrom="margin">
              <wp:posOffset>689991</wp:posOffset>
            </wp:positionH>
            <wp:positionV relativeFrom="paragraph">
              <wp:posOffset>-43179</wp:posOffset>
            </wp:positionV>
            <wp:extent cx="4333875" cy="730885"/>
            <wp:effectExtent l="0" t="0" r="0" b="0"/>
            <wp:wrapNone/>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
                    <a:srcRect/>
                    <a:stretch>
                      <a:fillRect/>
                    </a:stretch>
                  </pic:blipFill>
                  <pic:spPr>
                    <a:xfrm>
                      <a:off x="0" y="0"/>
                      <a:ext cx="4333875" cy="730885"/>
                    </a:xfrm>
                    <a:prstGeom prst="rect">
                      <a:avLst/>
                    </a:prstGeom>
                    <a:ln/>
                  </pic:spPr>
                </pic:pic>
              </a:graphicData>
            </a:graphic>
          </wp:anchor>
        </w:drawing>
      </w:r>
    </w:p>
    <w:p w:rsidR="001D2493" w:rsidRDefault="001D2493"/>
    <w:p w:rsidR="001D2493" w:rsidRDefault="00310C7B" w:rsidP="00D712DC">
      <w:pPr>
        <w:spacing w:line="360" w:lineRule="auto"/>
        <w:ind w:firstLine="480"/>
        <w:jc w:val="right"/>
      </w:pPr>
      <w:r>
        <w:rPr>
          <w:rFonts w:ascii="Arial Unicode MS" w:eastAsia="Arial Unicode MS" w:hAnsi="Arial Unicode MS" w:cs="Arial Unicode MS"/>
          <w:sz w:val="24"/>
          <w:szCs w:val="24"/>
        </w:rPr>
        <w:t xml:space="preserve">　</w:t>
      </w:r>
      <w:proofErr w:type="spellStart"/>
      <w:r>
        <w:rPr>
          <w:sz w:val="36"/>
          <w:szCs w:val="36"/>
        </w:rPr>
        <w:t>什叶派和逊尼派之间的分歧，自伊斯兰诞生之初就已经存在，但是不代表两派之间就不能和睦相处</w:t>
      </w:r>
      <w:proofErr w:type="spellEnd"/>
      <w:r>
        <w:rPr>
          <w:sz w:val="36"/>
          <w:szCs w:val="36"/>
        </w:rPr>
        <w:t>。</w:t>
      </w:r>
    </w:p>
    <w:p w:rsidR="001D2493" w:rsidRDefault="00310C7B" w:rsidP="00D712DC">
      <w:pPr>
        <w:spacing w:line="360" w:lineRule="auto"/>
        <w:ind w:firstLine="720"/>
        <w:jc w:val="right"/>
      </w:pPr>
      <w:r>
        <w:rPr>
          <w:sz w:val="36"/>
          <w:szCs w:val="36"/>
        </w:rPr>
        <w:t>比如：在巴格达南部的小城卡达米亚发生的反美战斗中，有目击者证实，逊尼和什叶两派的人都参与了与美军的作战。目击者称：“参加战斗的人有的是萨德尔城的什叶派，有的是费卢杰的逊尼派。现在，抵抗力量已经团结起来。”一座清真寺的墙上插出了这样一面旗子，上面写着：“我们在阿达米亚的旗帜和卡达米亚的旗帜是一样的，如果他们有了麻烦，我们就是他们的后援和他们的右手。”传统上，阿达米亚是逊尼派居住区，卡达米亚是什叶派居住区。两个居住区由底格里斯河上的一座桥连接。现在，当地人说，民兵常常走过这座桥，到对面去商讨袭击美军的事。一些伊拉克人甚至表示：“现在我们在为政府工作，可是如果发生了那种事，我们就会为萨德尔而战。”</w:t>
      </w:r>
    </w:p>
    <w:p w:rsidR="001D2493" w:rsidRDefault="00310C7B" w:rsidP="00D712DC">
      <w:pPr>
        <w:spacing w:line="360" w:lineRule="auto"/>
        <w:jc w:val="right"/>
      </w:pPr>
      <w:r>
        <w:rPr>
          <w:sz w:val="36"/>
          <w:szCs w:val="36"/>
        </w:rPr>
        <w:lastRenderedPageBreak/>
        <w:t xml:space="preserve">    在伊拉克、叙利亚、约旦、黎巴嫩、阿富汗和巴基斯坦，两派的高级学者和宗教领袖们同意两派别的民众互相交流，到对方清真寺参加活动，允许跟随彼此的伊玛目礼拜，互相通婚。在国际上，两个教派的领袖们参加共同的会议，遵循《古兰经》和圣训为穆斯林世界的利益坚持一致的立场。什叶穆斯林的伊玛目和领导人主动宣传和号召穆斯林世界的团结，消除分歧。</w:t>
      </w:r>
    </w:p>
    <w:p w:rsidR="001D2493" w:rsidRDefault="001D2493" w:rsidP="00D712DC">
      <w:pPr>
        <w:spacing w:line="360" w:lineRule="auto"/>
        <w:jc w:val="right"/>
      </w:pPr>
    </w:p>
    <w:p w:rsidR="001D2493" w:rsidRDefault="001D2493" w:rsidP="00D712DC">
      <w:pPr>
        <w:spacing w:line="360" w:lineRule="auto"/>
        <w:jc w:val="right"/>
      </w:pPr>
    </w:p>
    <w:p w:rsidR="001D2493" w:rsidRDefault="00310C7B" w:rsidP="00D712DC">
      <w:pPr>
        <w:spacing w:line="360" w:lineRule="auto"/>
        <w:jc w:val="right"/>
      </w:pPr>
      <w:proofErr w:type="spellStart"/>
      <w:r>
        <w:rPr>
          <w:b/>
          <w:sz w:val="36"/>
          <w:szCs w:val="36"/>
        </w:rPr>
        <w:t>两派之间的讹传和误解</w:t>
      </w:r>
      <w:proofErr w:type="spellEnd"/>
    </w:p>
    <w:p w:rsidR="001D2493" w:rsidRDefault="00310C7B" w:rsidP="00D712DC">
      <w:pPr>
        <w:spacing w:line="360" w:lineRule="auto"/>
        <w:ind w:firstLine="720"/>
        <w:jc w:val="right"/>
      </w:pPr>
      <w:r>
        <w:rPr>
          <w:sz w:val="36"/>
          <w:szCs w:val="36"/>
        </w:rPr>
        <w:t>美国华盛顿的伊斯兰学者A﹒S﹒哈希姆博士和底特律什叶清真寺伊玛目穆罕默德•埃拉赫是美国著名的什叶派伊斯兰学者，他们列举了以下逊尼穆斯林对什叶穆斯林弟兄的讹传和误解，并予解答。</w:t>
      </w:r>
    </w:p>
    <w:p w:rsidR="001D2493" w:rsidRDefault="00310C7B" w:rsidP="00D712DC">
      <w:pPr>
        <w:spacing w:after="0" w:line="360" w:lineRule="auto"/>
        <w:ind w:firstLine="480"/>
        <w:jc w:val="right"/>
      </w:pPr>
      <w:proofErr w:type="spellStart"/>
      <w:r>
        <w:rPr>
          <w:rFonts w:ascii="SimSun" w:eastAsia="SimSun" w:hAnsi="SimSun" w:cs="SimSun"/>
          <w:b/>
          <w:sz w:val="36"/>
          <w:szCs w:val="36"/>
        </w:rPr>
        <w:t>讹传之一：什叶派穆斯林有不同版本的《古兰经</w:t>
      </w:r>
      <w:proofErr w:type="spellEnd"/>
      <w:r>
        <w:rPr>
          <w:rFonts w:ascii="SimSun" w:eastAsia="SimSun" w:hAnsi="SimSun" w:cs="SimSun"/>
          <w:b/>
          <w:sz w:val="36"/>
          <w:szCs w:val="36"/>
        </w:rPr>
        <w:t>》，</w:t>
      </w:r>
      <w:proofErr w:type="spellStart"/>
      <w:r>
        <w:rPr>
          <w:rFonts w:ascii="SimSun" w:eastAsia="SimSun" w:hAnsi="SimSun" w:cs="SimSun"/>
          <w:b/>
          <w:sz w:val="36"/>
          <w:szCs w:val="36"/>
        </w:rPr>
        <w:t>在原经中增加了十章经文</w:t>
      </w:r>
      <w:proofErr w:type="spellEnd"/>
      <w:r>
        <w:rPr>
          <w:rFonts w:ascii="SimSun" w:eastAsia="SimSun" w:hAnsi="SimSun" w:cs="SimSun"/>
          <w:b/>
          <w:sz w:val="36"/>
          <w:szCs w:val="36"/>
        </w:rPr>
        <w:t>。</w:t>
      </w:r>
    </w:p>
    <w:p w:rsidR="001D2493" w:rsidRDefault="00310C7B" w:rsidP="00D712DC">
      <w:pPr>
        <w:spacing w:line="360" w:lineRule="auto"/>
        <w:ind w:firstLine="720"/>
        <w:jc w:val="right"/>
      </w:pPr>
      <w:r>
        <w:rPr>
          <w:sz w:val="36"/>
          <w:szCs w:val="36"/>
        </w:rPr>
        <w:t>什叶派学者解答：绝不属实。在任何一个什叶穆斯林家中或清真寺里的《古兰经》只有全世界统一的</w:t>
      </w:r>
      <w:r>
        <w:rPr>
          <w:sz w:val="36"/>
          <w:szCs w:val="36"/>
        </w:rPr>
        <w:lastRenderedPageBreak/>
        <w:t>版本，从来没有看到过阿拉伯原文的《古兰经》有一字之差的不同版本。但是，翻译的《古兰经》波斯语译文，确实有不同译者的作品，或波斯文注释不同，这是世界各国《古兰经》翻译文的正常现象，在许多国家都有两种以上本民族文字的《古兰经》译文。可以肯定地说，任何翻译都免不了对原文做些诠注，但从来没有看到过对原经有所增加的新版本。</w:t>
      </w:r>
    </w:p>
    <w:p w:rsidR="001D2493" w:rsidRDefault="00310C7B" w:rsidP="00D712DC">
      <w:pPr>
        <w:spacing w:after="0" w:line="360" w:lineRule="auto"/>
        <w:ind w:firstLine="723"/>
        <w:jc w:val="right"/>
      </w:pPr>
      <w:proofErr w:type="spellStart"/>
      <w:r>
        <w:rPr>
          <w:rFonts w:ascii="SimSun" w:eastAsia="SimSun" w:hAnsi="SimSun" w:cs="SimSun"/>
          <w:b/>
          <w:sz w:val="36"/>
          <w:szCs w:val="36"/>
        </w:rPr>
        <w:t>讹传之二：什叶派穆斯林认伊玛目阿里为造物主</w:t>
      </w:r>
      <w:proofErr w:type="spellEnd"/>
      <w:r>
        <w:rPr>
          <w:rFonts w:ascii="SimSun" w:eastAsia="SimSun" w:hAnsi="SimSun" w:cs="SimSun"/>
          <w:b/>
          <w:sz w:val="36"/>
          <w:szCs w:val="36"/>
        </w:rPr>
        <w:t>。</w:t>
      </w:r>
    </w:p>
    <w:p w:rsidR="001D2493" w:rsidRDefault="00310C7B" w:rsidP="00D712DC">
      <w:pPr>
        <w:spacing w:line="360" w:lineRule="auto"/>
        <w:ind w:firstLine="720"/>
        <w:jc w:val="right"/>
      </w:pPr>
      <w:r>
        <w:rPr>
          <w:sz w:val="36"/>
          <w:szCs w:val="36"/>
        </w:rPr>
        <w:t>什叶派学者解答：纯属造谣，没有任何什叶穆斯林敢这么说。敢这么说的人，绝对不是穆斯林，因为什叶穆斯林与逊尼派一样，把为主举伴视为不可饶恕的第一大罪过。</w:t>
      </w:r>
    </w:p>
    <w:p w:rsidR="001D2493" w:rsidRDefault="00310C7B" w:rsidP="00D712DC">
      <w:pPr>
        <w:spacing w:line="360" w:lineRule="auto"/>
        <w:ind w:firstLine="720"/>
        <w:jc w:val="right"/>
      </w:pPr>
      <w:r>
        <w:rPr>
          <w:sz w:val="36"/>
          <w:szCs w:val="36"/>
        </w:rPr>
        <w:t>考查历史资料，在阿里担任哈里法时代，据说在古波斯帝国边远地方有一个加勒特部落，他们在归信伊斯兰之初曾经把哈里法阿里依照当地的信仰习惯说成是“神君”。伊玛目阿里得知后立即帕特使去制止，如有人再如此说，必予严厉惩罚。</w:t>
      </w:r>
    </w:p>
    <w:p w:rsidR="001D2493" w:rsidRDefault="00310C7B" w:rsidP="00D712DC">
      <w:pPr>
        <w:spacing w:after="0" w:line="360" w:lineRule="auto"/>
        <w:jc w:val="right"/>
      </w:pPr>
      <w:r>
        <w:rPr>
          <w:rFonts w:ascii="SimSun" w:eastAsia="SimSun" w:hAnsi="SimSun" w:cs="SimSun"/>
          <w:sz w:val="36"/>
          <w:szCs w:val="36"/>
        </w:rPr>
        <w:t xml:space="preserve">    </w:t>
      </w:r>
      <w:proofErr w:type="spellStart"/>
      <w:r>
        <w:rPr>
          <w:rFonts w:ascii="SimSun" w:eastAsia="SimSun" w:hAnsi="SimSun" w:cs="SimSun"/>
          <w:b/>
          <w:sz w:val="36"/>
          <w:szCs w:val="36"/>
        </w:rPr>
        <w:t>讹传之三：什叶穆斯林的“清真言”不同</w:t>
      </w:r>
      <w:proofErr w:type="spellEnd"/>
      <w:r>
        <w:rPr>
          <w:rFonts w:ascii="SimSun" w:eastAsia="SimSun" w:hAnsi="SimSun" w:cs="SimSun"/>
          <w:b/>
          <w:sz w:val="36"/>
          <w:szCs w:val="36"/>
        </w:rPr>
        <w:t>。</w:t>
      </w:r>
    </w:p>
    <w:p w:rsidR="001D2493" w:rsidRDefault="00310C7B" w:rsidP="00D712DC">
      <w:pPr>
        <w:spacing w:line="360" w:lineRule="auto"/>
        <w:ind w:firstLine="720"/>
        <w:jc w:val="right"/>
      </w:pPr>
      <w:r>
        <w:rPr>
          <w:sz w:val="36"/>
          <w:szCs w:val="36"/>
        </w:rPr>
        <w:lastRenderedPageBreak/>
        <w:t>什叶派学者解答：绝非如此。逊尼与什叶穆斯林的清真言都是：“万物非主，唯有安拉；穆罕默德是安拉的使者。”在接纳新穆斯林归信伊斯兰时，有些地方的什叶伊玛目要求宣誓者在清真言之后加上一句话承认伊玛目阿里是真主的忠仆，是穆斯林社会的领袖，但绝大部份什叶伊玛目没有这个要求，采用与逊尼穆斯林完全一样的归信誓言。</w:t>
      </w:r>
    </w:p>
    <w:p w:rsidR="001D2493" w:rsidRDefault="00310C7B" w:rsidP="00D712DC">
      <w:pPr>
        <w:spacing w:after="0" w:line="360" w:lineRule="auto"/>
        <w:ind w:firstLine="723"/>
        <w:jc w:val="right"/>
      </w:pPr>
      <w:proofErr w:type="spellStart"/>
      <w:r>
        <w:rPr>
          <w:rFonts w:ascii="SimSun" w:eastAsia="SimSun" w:hAnsi="SimSun" w:cs="SimSun"/>
          <w:b/>
          <w:sz w:val="36"/>
          <w:szCs w:val="36"/>
        </w:rPr>
        <w:t>讹传之四：什叶穆斯林拜功中只有主命拜，没有圣行拜</w:t>
      </w:r>
      <w:proofErr w:type="spellEnd"/>
      <w:r>
        <w:rPr>
          <w:rFonts w:ascii="SimSun" w:eastAsia="SimSun" w:hAnsi="SimSun" w:cs="SimSun"/>
          <w:b/>
          <w:sz w:val="36"/>
          <w:szCs w:val="36"/>
        </w:rPr>
        <w:t>。</w:t>
      </w:r>
    </w:p>
    <w:p w:rsidR="001D2493" w:rsidRDefault="00310C7B" w:rsidP="00D712DC">
      <w:pPr>
        <w:spacing w:after="0" w:line="360" w:lineRule="auto"/>
        <w:ind w:firstLine="720"/>
        <w:jc w:val="right"/>
      </w:pPr>
      <w:r>
        <w:rPr>
          <w:rFonts w:ascii="SimSun" w:eastAsia="SimSun" w:hAnsi="SimSun" w:cs="SimSun"/>
          <w:sz w:val="36"/>
          <w:szCs w:val="36"/>
        </w:rPr>
        <w:t>什叶派学者解答：并非如此。在什叶穆斯林每天五次拜功中的主命拜拜数与逊尼派相同，而且此外还有总共36拜附属的“志愿拜</w:t>
      </w:r>
      <w:proofErr w:type="gramStart"/>
      <w:r>
        <w:rPr>
          <w:rFonts w:ascii="SimSun" w:eastAsia="SimSun" w:hAnsi="SimSun" w:cs="SimSun"/>
          <w:sz w:val="36"/>
          <w:szCs w:val="36"/>
        </w:rPr>
        <w:t>”(</w:t>
      </w:r>
      <w:proofErr w:type="gramEnd"/>
      <w:r>
        <w:rPr>
          <w:rFonts w:ascii="SimSun" w:eastAsia="SimSun" w:hAnsi="SimSun" w:cs="SimSun"/>
          <w:sz w:val="36"/>
          <w:szCs w:val="36"/>
        </w:rPr>
        <w:t>纳瓦菲尔)，不称作圣行拜。此外，什叶穆斯林也有许多个人的志愿拜功，但都不是以圣行的名称，因为，作为圣行拜便有“必须性”，而志愿拜则强调记念真主的自觉性。</w:t>
      </w:r>
      <w:r>
        <w:rPr>
          <w:rFonts w:ascii="SimSun" w:eastAsia="SimSun" w:hAnsi="SimSun" w:cs="SimSun"/>
          <w:sz w:val="36"/>
          <w:szCs w:val="36"/>
        </w:rPr>
        <w:br/>
        <w:t xml:space="preserve">　　</w:t>
      </w:r>
    </w:p>
    <w:p w:rsidR="001D2493" w:rsidRDefault="00310C7B" w:rsidP="00D712DC">
      <w:pPr>
        <w:spacing w:after="0" w:line="360" w:lineRule="auto"/>
        <w:ind w:firstLine="723"/>
        <w:jc w:val="right"/>
      </w:pPr>
      <w:r>
        <w:rPr>
          <w:rFonts w:ascii="SimSun" w:eastAsia="SimSun" w:hAnsi="SimSun" w:cs="SimSun"/>
          <w:b/>
          <w:sz w:val="36"/>
          <w:szCs w:val="36"/>
        </w:rPr>
        <w:t>讹传之五：什叶伊玛目说，哲卜利勒天使犯了一个错误，真主命令他把启示传达给“</w:t>
      </w:r>
      <w:proofErr w:type="spellStart"/>
      <w:r>
        <w:rPr>
          <w:rFonts w:ascii="SimSun" w:eastAsia="SimSun" w:hAnsi="SimSun" w:cs="SimSun"/>
          <w:b/>
          <w:sz w:val="36"/>
          <w:szCs w:val="36"/>
        </w:rPr>
        <w:t>先知胡德</w:t>
      </w:r>
      <w:proofErr w:type="spellEnd"/>
      <w:r>
        <w:rPr>
          <w:rFonts w:ascii="SimSun" w:eastAsia="SimSun" w:hAnsi="SimSun" w:cs="SimSun"/>
          <w:b/>
          <w:sz w:val="36"/>
          <w:szCs w:val="36"/>
        </w:rPr>
        <w:t>”，</w:t>
      </w:r>
      <w:proofErr w:type="spellStart"/>
      <w:r>
        <w:rPr>
          <w:rFonts w:ascii="SimSun" w:eastAsia="SimSun" w:hAnsi="SimSun" w:cs="SimSun"/>
          <w:b/>
          <w:sz w:val="36"/>
          <w:szCs w:val="36"/>
        </w:rPr>
        <w:t>应当是阿里，而不是穆罕默德</w:t>
      </w:r>
      <w:proofErr w:type="spellEnd"/>
      <w:r>
        <w:rPr>
          <w:rFonts w:ascii="SimSun" w:eastAsia="SimSun" w:hAnsi="SimSun" w:cs="SimSun"/>
          <w:b/>
          <w:sz w:val="36"/>
          <w:szCs w:val="36"/>
        </w:rPr>
        <w:t>。</w:t>
      </w:r>
    </w:p>
    <w:p w:rsidR="001D2493" w:rsidRDefault="00310C7B" w:rsidP="00D712DC">
      <w:pPr>
        <w:spacing w:line="360" w:lineRule="auto"/>
        <w:ind w:firstLine="720"/>
        <w:jc w:val="right"/>
      </w:pPr>
      <w:r>
        <w:rPr>
          <w:sz w:val="36"/>
          <w:szCs w:val="36"/>
        </w:rPr>
        <w:lastRenderedPageBreak/>
        <w:t>什叶派学者解答：没有此事。从来没有一部什叶经典有这个荒唐记载，也从来没有一个伊玛目有如此梦呓狂言。什叶穆斯林同逊尼派一样，绝对承认先知穆罕默德是真主派遣到人世间的封印至圣，没有其它猜疑和传说。</w:t>
      </w:r>
    </w:p>
    <w:p w:rsidR="001D2493" w:rsidRDefault="00310C7B" w:rsidP="00D712DC">
      <w:pPr>
        <w:spacing w:after="0" w:line="360" w:lineRule="auto"/>
        <w:jc w:val="right"/>
      </w:pPr>
      <w:r>
        <w:rPr>
          <w:rFonts w:ascii="SimSun" w:eastAsia="SimSun" w:hAnsi="SimSun" w:cs="SimSun"/>
          <w:sz w:val="36"/>
          <w:szCs w:val="36"/>
        </w:rPr>
        <w:t xml:space="preserve">  　</w:t>
      </w:r>
      <w:r>
        <w:rPr>
          <w:rFonts w:ascii="SimSun" w:eastAsia="SimSun" w:hAnsi="SimSun" w:cs="SimSun"/>
          <w:b/>
          <w:sz w:val="36"/>
          <w:szCs w:val="36"/>
        </w:rPr>
        <w:t>讹传之六：</w:t>
      </w:r>
      <w:proofErr w:type="gramStart"/>
      <w:r>
        <w:rPr>
          <w:rFonts w:ascii="SimSun" w:eastAsia="SimSun" w:hAnsi="SimSun" w:cs="SimSun"/>
          <w:b/>
          <w:sz w:val="36"/>
          <w:szCs w:val="36"/>
        </w:rPr>
        <w:t>什叶伊玛目对前三位哈里法(</w:t>
      </w:r>
      <w:proofErr w:type="gramEnd"/>
      <w:r>
        <w:rPr>
          <w:rFonts w:ascii="SimSun" w:eastAsia="SimSun" w:hAnsi="SimSun" w:cs="SimSun"/>
          <w:b/>
          <w:sz w:val="36"/>
          <w:szCs w:val="36"/>
        </w:rPr>
        <w:t>阿布•伯克﹐欧麦尔和奥斯曼)不予承认，认为先知穆圣合法的继承者只有是阿里；什叶穆斯林喜欢法蒂玛太太，不喜欢圣妻阿依莎。</w:t>
      </w:r>
    </w:p>
    <w:p w:rsidR="001D2493" w:rsidRDefault="00310C7B" w:rsidP="00D712DC">
      <w:pPr>
        <w:spacing w:line="360" w:lineRule="auto"/>
        <w:ind w:firstLine="720"/>
        <w:jc w:val="right"/>
      </w:pPr>
      <w:r>
        <w:rPr>
          <w:sz w:val="36"/>
          <w:szCs w:val="36"/>
        </w:rPr>
        <w:t>什叶派学者解答：不确切。根据什叶伊斯兰的历史记载，上述前三位大贤都是先知穆圣最亲密的弟子，而且人品高尚，政绩显赫，成就卓越，但不如第四位哈里法阿里有伊斯兰大伊玛目的品级，因为伊玛目阿里是先知穆圣亲自教育和培养的青年，属于《古兰经》上所肯定的圣裔，他本人和他的后代得真主特赐护佑。此外，这是历史的争论，与伊斯兰信仰的精神和基本教义没有直接关系。四位哈里法都是当时选举产生的，这是伊斯兰民主的榜样，如果当时有一位弟</w:t>
      </w:r>
      <w:r>
        <w:rPr>
          <w:sz w:val="36"/>
          <w:szCs w:val="36"/>
        </w:rPr>
        <w:lastRenderedPageBreak/>
        <w:t>子在选举中没有举手赞同，这不会影响他的现代子孙成为忠诚的穆斯林。</w:t>
      </w:r>
    </w:p>
    <w:p w:rsidR="001D2493" w:rsidRDefault="00310C7B" w:rsidP="00D712DC">
      <w:pPr>
        <w:spacing w:line="360" w:lineRule="auto"/>
        <w:jc w:val="right"/>
      </w:pPr>
      <w:r>
        <w:rPr>
          <w:sz w:val="36"/>
          <w:szCs w:val="36"/>
        </w:rPr>
        <w:t xml:space="preserve">　　根据什叶穆斯林的历史，什叶派的第六位大伊玛目加法尔•萨迪克的曾祖母和母亲都是阿布•伯克尔的后裔，因此，伊玛目萨迪克说：“哈里法阿布•伯克尔曾经给过我两次生命。” 圣妻阿依莎也被什叶穆斯林同样尊称为“信士之母”，是伊玛目阿里所尊敬的长辈，在先知穆圣归真之后发生的“骆驼之战”的战役中，伊玛目阿里命令把圣妻阿依莎从巴什拉护送到麦地那，保护她的人身安全。对伊斯兰历史上的前三位哈里法或圣妻阿依莎如果有任何歪曲历史的狂言，那可能是什叶穆斯林之中无知之徒的胡诌，不足为凭。</w:t>
      </w:r>
    </w:p>
    <w:p w:rsidR="001D2493" w:rsidRDefault="00310C7B" w:rsidP="00D712DC">
      <w:pPr>
        <w:spacing w:after="0" w:line="360" w:lineRule="auto"/>
        <w:jc w:val="right"/>
      </w:pPr>
      <w:r>
        <w:rPr>
          <w:rFonts w:ascii="SimSun" w:eastAsia="SimSun" w:hAnsi="SimSun" w:cs="SimSun"/>
          <w:sz w:val="24"/>
          <w:szCs w:val="24"/>
        </w:rPr>
        <w:t xml:space="preserve">　  　</w:t>
      </w:r>
      <w:proofErr w:type="spellStart"/>
      <w:r>
        <w:rPr>
          <w:rFonts w:ascii="SimSun" w:eastAsia="SimSun" w:hAnsi="SimSun" w:cs="SimSun"/>
          <w:b/>
          <w:sz w:val="36"/>
          <w:szCs w:val="36"/>
        </w:rPr>
        <w:t>讹传之七：什叶穆斯林把全天五次拜功合并，在晚间作一次礼</w:t>
      </w:r>
      <w:proofErr w:type="spellEnd"/>
      <w:r>
        <w:rPr>
          <w:rFonts w:ascii="SimSun" w:eastAsia="SimSun" w:hAnsi="SimSun" w:cs="SimSun"/>
          <w:b/>
          <w:sz w:val="36"/>
          <w:szCs w:val="36"/>
        </w:rPr>
        <w:t>。</w:t>
      </w:r>
    </w:p>
    <w:p w:rsidR="001D2493" w:rsidRDefault="00310C7B" w:rsidP="00D712DC">
      <w:pPr>
        <w:spacing w:line="360" w:lineRule="auto"/>
        <w:jc w:val="right"/>
      </w:pPr>
      <w:r>
        <w:rPr>
          <w:sz w:val="36"/>
          <w:szCs w:val="36"/>
        </w:rPr>
        <w:t xml:space="preserve">　　什叶派学者解答：一叶障目。说话的人大概只看某一个到在美国打工的什叶穆斯林，他也许整天劳动，晚上还补全天拜功。只有这样的人，才把一天的拜在晚上并礼，而在所有什叶清真寺中，同逊尼穆斯林一样，按时的五次拜功，一点也不差，时间的定制也</w:t>
      </w:r>
      <w:r>
        <w:rPr>
          <w:sz w:val="36"/>
          <w:szCs w:val="36"/>
        </w:rPr>
        <w:lastRenderedPageBreak/>
        <w:t>完全一样。什叶伊玛目强调按时礼拜是真主的命令，并礼是万不得已的补救，但比找借口“工作太忙”从来不礼拜的人要算有进取的优秀穆斯林，即使中午或晚上，把两次以上拜功并礼，也必须明显分段，每次举意不同。此外，每周一次星期五主麻聚礼，每年两次节日会礼（开斋节和宰牲节）什叶与逊尼穆斯林没有区别。</w:t>
      </w:r>
    </w:p>
    <w:p w:rsidR="001D2493" w:rsidRDefault="00310C7B" w:rsidP="00D712DC">
      <w:pPr>
        <w:spacing w:after="0" w:line="360" w:lineRule="auto"/>
        <w:jc w:val="right"/>
      </w:pPr>
      <w:r>
        <w:rPr>
          <w:rFonts w:ascii="SimSun" w:eastAsia="SimSun" w:hAnsi="SimSun" w:cs="SimSun"/>
          <w:sz w:val="36"/>
          <w:szCs w:val="36"/>
        </w:rPr>
        <w:t xml:space="preserve">　　</w:t>
      </w:r>
      <w:proofErr w:type="spellStart"/>
      <w:r>
        <w:rPr>
          <w:rFonts w:ascii="SimSun" w:eastAsia="SimSun" w:hAnsi="SimSun" w:cs="SimSun"/>
          <w:b/>
          <w:sz w:val="36"/>
          <w:szCs w:val="36"/>
        </w:rPr>
        <w:t>讹传之八：什叶穆斯林不执行则卡特制度（天课</w:t>
      </w:r>
      <w:proofErr w:type="spellEnd"/>
      <w:r>
        <w:rPr>
          <w:rFonts w:ascii="SimSun" w:eastAsia="SimSun" w:hAnsi="SimSun" w:cs="SimSun"/>
          <w:b/>
          <w:sz w:val="36"/>
          <w:szCs w:val="36"/>
        </w:rPr>
        <w:t>）。</w:t>
      </w:r>
    </w:p>
    <w:p w:rsidR="001D2493" w:rsidRDefault="00310C7B" w:rsidP="00D712DC">
      <w:pPr>
        <w:spacing w:line="360" w:lineRule="auto"/>
        <w:ind w:firstLine="720"/>
        <w:jc w:val="right"/>
      </w:pPr>
      <w:r>
        <w:rPr>
          <w:sz w:val="36"/>
          <w:szCs w:val="36"/>
        </w:rPr>
        <w:t>什叶派学者解答：不实之言。每年从纯收入中交纳四十分之一的则卡特如同逊尼穆斯林奉行的同样制度，什叶穆斯林的则卡特多数是直接向贫穷户资助和施舍，不必经过政府部门收敛。什叶穆斯林另外还有“库姆斯”课税制度，</w:t>
      </w:r>
      <w:proofErr w:type="gramStart"/>
      <w:r>
        <w:rPr>
          <w:sz w:val="36"/>
          <w:szCs w:val="36"/>
        </w:rPr>
        <w:t>把收入的五分之一(</w:t>
      </w:r>
      <w:proofErr w:type="gramEnd"/>
      <w:r>
        <w:rPr>
          <w:sz w:val="36"/>
          <w:szCs w:val="36"/>
        </w:rPr>
        <w:t>20%)拿出来用作公益事业。</w:t>
      </w:r>
    </w:p>
    <w:p w:rsidR="001D2493" w:rsidRDefault="00310C7B" w:rsidP="00D712DC">
      <w:pPr>
        <w:spacing w:after="0" w:line="360" w:lineRule="auto"/>
        <w:ind w:firstLine="723"/>
        <w:jc w:val="right"/>
      </w:pPr>
      <w:proofErr w:type="spellStart"/>
      <w:r>
        <w:rPr>
          <w:rFonts w:ascii="SimSun" w:eastAsia="SimSun" w:hAnsi="SimSun" w:cs="SimSun"/>
          <w:b/>
          <w:sz w:val="36"/>
          <w:szCs w:val="36"/>
        </w:rPr>
        <w:t>讹传之九：什叶穆斯林施行“穆塔尔”临时婚姻，歧视妇女</w:t>
      </w:r>
      <w:proofErr w:type="spellEnd"/>
      <w:r>
        <w:rPr>
          <w:rFonts w:ascii="SimSun" w:eastAsia="SimSun" w:hAnsi="SimSun" w:cs="SimSun"/>
          <w:b/>
          <w:sz w:val="36"/>
          <w:szCs w:val="36"/>
        </w:rPr>
        <w:t>。</w:t>
      </w:r>
    </w:p>
    <w:p w:rsidR="001D2493" w:rsidRDefault="00310C7B" w:rsidP="00D712DC">
      <w:pPr>
        <w:spacing w:line="360" w:lineRule="auto"/>
        <w:jc w:val="right"/>
      </w:pPr>
      <w:r>
        <w:rPr>
          <w:sz w:val="36"/>
          <w:szCs w:val="36"/>
        </w:rPr>
        <w:t xml:space="preserve">　　什叶派学者解答：“穆塔尔”是伊斯兰之前的阿拉伯社会习惯，先知穆圣曾经命令禁止，后来哈里法欧</w:t>
      </w:r>
      <w:r>
        <w:rPr>
          <w:sz w:val="36"/>
          <w:szCs w:val="36"/>
        </w:rPr>
        <w:lastRenderedPageBreak/>
        <w:t>麦尔正式发布公告予以禁止，但仍旧有许多民族视为传统习惯，尤其长期旅居他乡的人，暗中实行。伊朗的现代婚姻法，对穆塔尔从法律上做了许多严格规定，改为双方志愿的“契约婚姻”或“商婚”的类型，以此杜绝嫖娼或通奸。</w:t>
      </w:r>
    </w:p>
    <w:p w:rsidR="001D2493" w:rsidRDefault="00310C7B" w:rsidP="00D712DC">
      <w:pPr>
        <w:spacing w:after="0" w:line="360" w:lineRule="auto"/>
        <w:jc w:val="right"/>
      </w:pPr>
      <w:r>
        <w:rPr>
          <w:rFonts w:ascii="SimSun" w:eastAsia="SimSun" w:hAnsi="SimSun" w:cs="SimSun"/>
          <w:sz w:val="36"/>
          <w:szCs w:val="36"/>
        </w:rPr>
        <w:t xml:space="preserve">　　</w:t>
      </w:r>
      <w:proofErr w:type="spellStart"/>
      <w:r>
        <w:rPr>
          <w:rFonts w:ascii="SimSun" w:eastAsia="SimSun" w:hAnsi="SimSun" w:cs="SimSun"/>
          <w:b/>
          <w:sz w:val="36"/>
          <w:szCs w:val="36"/>
        </w:rPr>
        <w:t>讹传之十：什叶穆斯林认为他们的伊玛目具有“永无错误”的品级，超越历代先知</w:t>
      </w:r>
      <w:proofErr w:type="spellEnd"/>
      <w:r>
        <w:rPr>
          <w:rFonts w:ascii="SimSun" w:eastAsia="SimSun" w:hAnsi="SimSun" w:cs="SimSun"/>
          <w:b/>
          <w:sz w:val="36"/>
          <w:szCs w:val="36"/>
        </w:rPr>
        <w:t>。</w:t>
      </w:r>
    </w:p>
    <w:p w:rsidR="001D2493" w:rsidRDefault="00310C7B" w:rsidP="00D712DC">
      <w:pPr>
        <w:spacing w:line="360" w:lineRule="auto"/>
        <w:jc w:val="right"/>
      </w:pPr>
      <w:r>
        <w:rPr>
          <w:sz w:val="36"/>
          <w:szCs w:val="36"/>
        </w:rPr>
        <w:t xml:space="preserve">　　什叶派学者解答：不确实。先知（纳比）是真主派遣的使者，例如《古兰经》中所记载的那些先知，都经过真主的特派，承担特殊使命，并且经历真主对他们的各种磨难和考验。虽然所有的先知也都是伊玛目，例如穆罕默德是先知，也是伊玛目，因为伊玛目是社会功能，是伊斯兰信士的领袖，但并非任何伊玛目都是先知，这应当是常识。什叶穆斯林所敬仰的领袖如阿里，以及以后的领袖，他们只是伊玛目，而不能与先</w:t>
      </w:r>
      <w:bookmarkStart w:id="1" w:name="_GoBack"/>
      <w:bookmarkEnd w:id="1"/>
      <w:r>
        <w:rPr>
          <w:sz w:val="36"/>
          <w:szCs w:val="36"/>
        </w:rPr>
        <w:t>知相提并论。</w:t>
      </w:r>
    </w:p>
    <w:p w:rsidR="001D2493" w:rsidRDefault="001D2493" w:rsidP="00D712DC">
      <w:pPr>
        <w:jc w:val="right"/>
      </w:pPr>
    </w:p>
    <w:p w:rsidR="001D2493" w:rsidRDefault="00310C7B" w:rsidP="00DB7C60">
      <w:pPr>
        <w:jc w:val="center"/>
      </w:pPr>
      <w:r>
        <w:rPr>
          <w:rFonts w:ascii="Times New Roman" w:eastAsia="Times New Roman" w:hAnsi="Times New Roman" w:cs="Times New Roman"/>
          <w:color w:val="5EA1A5"/>
          <w:sz w:val="100"/>
          <w:szCs w:val="100"/>
        </w:rPr>
        <w:tab/>
      </w:r>
      <w:r>
        <w:rPr>
          <w:rFonts w:ascii="Times New Roman" w:eastAsia="Times New Roman" w:hAnsi="Times New Roman" w:cs="Times New Roman"/>
          <w:color w:val="5EA1A5"/>
          <w:sz w:val="160"/>
          <w:szCs w:val="160"/>
        </w:rPr>
        <w:tab/>
      </w:r>
    </w:p>
    <w:sectPr w:rsidR="001D2493">
      <w:headerReference w:type="default" r:id="rId7"/>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83" w:rsidRDefault="00B34883">
      <w:pPr>
        <w:spacing w:after="0" w:line="240" w:lineRule="auto"/>
      </w:pPr>
      <w:r>
        <w:separator/>
      </w:r>
    </w:p>
  </w:endnote>
  <w:endnote w:type="continuationSeparator" w:id="0">
    <w:p w:rsidR="00B34883" w:rsidRDefault="00B3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LiSu">
    <w:panose1 w:val="02010509060101010101"/>
    <w:charset w:val="86"/>
    <w:family w:val="modern"/>
    <w:pitch w:val="fixed"/>
    <w:sig w:usb0="00000001" w:usb1="080E0000" w:usb2="00000010" w:usb3="00000000" w:csb0="00040000" w:csb1="00000000"/>
  </w:font>
  <w:font w:name="KFGQPC Uthman Taha Naskh">
    <w:panose1 w:val="02000000000000000000"/>
    <w:charset w:val="B2"/>
    <w:family w:val="auto"/>
    <w:pitch w:val="variable"/>
    <w:sig w:usb0="80002001" w:usb1="90000000" w:usb2="00000008" w:usb3="00000000" w:csb0="00000040" w:csb1="00000000"/>
  </w:font>
  <w:font w:name="Aldhabi">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83" w:rsidRDefault="00B34883">
      <w:pPr>
        <w:spacing w:after="0" w:line="240" w:lineRule="auto"/>
      </w:pPr>
      <w:r>
        <w:separator/>
      </w:r>
    </w:p>
  </w:footnote>
  <w:footnote w:type="continuationSeparator" w:id="0">
    <w:p w:rsidR="00B34883" w:rsidRDefault="00B34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93" w:rsidRDefault="00310C7B">
    <w:pPr>
      <w:widowControl w:val="0"/>
      <w:tabs>
        <w:tab w:val="center" w:pos="4153"/>
        <w:tab w:val="right" w:pos="8306"/>
      </w:tabs>
      <w:spacing w:before="709" w:after="0" w:line="120" w:lineRule="auto"/>
      <w:jc w:val="center"/>
    </w:pPr>
    <w:r>
      <w:rPr>
        <w:noProof/>
      </w:rPr>
      <mc:AlternateContent>
        <mc:Choice Requires="wpg">
          <w:drawing>
            <wp:anchor distT="0" distB="0" distL="114300" distR="114300" simplePos="0" relativeHeight="251658240" behindDoc="0" locked="0" layoutInCell="0" hidden="0" allowOverlap="1">
              <wp:simplePos x="0" y="0"/>
              <wp:positionH relativeFrom="margin">
                <wp:posOffset>-596899</wp:posOffset>
              </wp:positionH>
              <wp:positionV relativeFrom="paragraph">
                <wp:posOffset>-177799</wp:posOffset>
              </wp:positionV>
              <wp:extent cx="6908800" cy="444500"/>
              <wp:effectExtent l="0" t="0" r="0" b="0"/>
              <wp:wrapNone/>
              <wp:docPr id="5" name="Group 5"/>
              <wp:cNvGraphicFramePr/>
              <a:graphic xmlns:a="http://schemas.openxmlformats.org/drawingml/2006/main">
                <a:graphicData uri="http://schemas.microsoft.com/office/word/2010/wordprocessingGroup">
                  <wpg:wgp>
                    <wpg:cNvGrpSpPr/>
                    <wpg:grpSpPr>
                      <a:xfrm>
                        <a:off x="0" y="0"/>
                        <a:ext cx="6908800" cy="444500"/>
                        <a:chOff x="1889694" y="3551717"/>
                        <a:chExt cx="6912609" cy="456719"/>
                      </a:xfrm>
                    </wpg:grpSpPr>
                    <wpg:grpSp>
                      <wpg:cNvPr id="4" name="Group 4"/>
                      <wpg:cNvGrpSpPr/>
                      <wpg:grpSpPr>
                        <a:xfrm>
                          <a:off x="1889694" y="3551717"/>
                          <a:ext cx="6912609" cy="456719"/>
                          <a:chOff x="0" y="586"/>
                          <a:chExt cx="44621" cy="2951"/>
                        </a:xfrm>
                      </wpg:grpSpPr>
                      <wps:wsp>
                        <wps:cNvPr id="6" name="Rectangle 6"/>
                        <wps:cNvSpPr/>
                        <wps:spPr>
                          <a:xfrm>
                            <a:off x="0" y="586"/>
                            <a:ext cx="44600" cy="2950"/>
                          </a:xfrm>
                          <a:prstGeom prst="rect">
                            <a:avLst/>
                          </a:prstGeom>
                          <a:noFill/>
                          <a:ln>
                            <a:noFill/>
                          </a:ln>
                        </wps:spPr>
                        <wps:txbx>
                          <w:txbxContent>
                            <w:p w:rsidR="001D2493" w:rsidRDefault="001D2493">
                              <w:pPr>
                                <w:spacing w:after="0" w:line="240" w:lineRule="auto"/>
                                <w:textDirection w:val="btLr"/>
                              </w:pPr>
                            </w:p>
                          </w:txbxContent>
                        </wps:txbx>
                        <wps:bodyPr lIns="91425" tIns="91425" rIns="91425" bIns="91425" anchor="ctr" anchorCtr="0"/>
                      </wps:wsp>
                      <wps:wsp>
                        <wps:cNvPr id="7" name="Rectangle 7"/>
                        <wps:cNvSpPr/>
                        <wps:spPr>
                          <a:xfrm>
                            <a:off x="187" y="586"/>
                            <a:ext cx="12395" cy="2585"/>
                          </a:xfrm>
                          <a:prstGeom prst="rect">
                            <a:avLst/>
                          </a:prstGeom>
                          <a:solidFill>
                            <a:srgbClr val="FFFFFF"/>
                          </a:solidFill>
                          <a:ln>
                            <a:noFill/>
                          </a:ln>
                        </wps:spPr>
                        <wps:txbx>
                          <w:txbxContent>
                            <w:p w:rsidR="001D2493" w:rsidRDefault="001D2493">
                              <w:pPr>
                                <w:spacing w:before="80" w:after="0" w:line="240" w:lineRule="auto"/>
                                <w:ind w:firstLine="170"/>
                                <w:textDirection w:val="btLr"/>
                              </w:pPr>
                            </w:p>
                          </w:txbxContent>
                        </wps:txbx>
                        <wps:bodyPr lIns="91425" tIns="45700" rIns="91425" bIns="45700" anchor="t" anchorCtr="0"/>
                      </wps:wsp>
                      <wps:wsp>
                        <wps:cNvPr id="8" name="Straight Arrow Connector 8"/>
                        <wps:cNvCnPr/>
                        <wps:spPr>
                          <a:xfrm rot="10800000">
                            <a:off x="0" y="2856"/>
                            <a:ext cx="44621" cy="0"/>
                          </a:xfrm>
                          <a:prstGeom prst="straightConnector1">
                            <a:avLst/>
                          </a:prstGeom>
                          <a:noFill/>
                          <a:ln w="12700" cap="flat" cmpd="sng">
                            <a:solidFill>
                              <a:srgbClr val="4C818E"/>
                            </a:solidFill>
                            <a:prstDash val="solid"/>
                            <a:round/>
                            <a:headEnd type="none" w="med" len="med"/>
                            <a:tailEnd type="none" w="med" len="med"/>
                          </a:ln>
                        </wps:spPr>
                        <wps:bodyPr/>
                      </wps:wsp>
                      <wps:wsp>
                        <wps:cNvPr id="9" name="Rectangle 9"/>
                        <wps:cNvSpPr/>
                        <wps:spPr>
                          <a:xfrm>
                            <a:off x="35420" y="997"/>
                            <a:ext cx="7981" cy="2540"/>
                          </a:xfrm>
                          <a:prstGeom prst="rect">
                            <a:avLst/>
                          </a:prstGeom>
                          <a:solidFill>
                            <a:srgbClr val="FFFFFF"/>
                          </a:solidFill>
                          <a:ln w="9525" cap="flat" cmpd="sng">
                            <a:solidFill>
                              <a:srgbClr val="307072"/>
                            </a:solidFill>
                            <a:prstDash val="solid"/>
                            <a:miter/>
                            <a:headEnd type="none" w="med" len="med"/>
                            <a:tailEnd type="none" w="med" len="med"/>
                          </a:ln>
                        </wps:spPr>
                        <wps:txbx>
                          <w:txbxContent>
                            <w:p w:rsidR="001D2493" w:rsidRDefault="001D2493">
                              <w:pPr>
                                <w:spacing w:after="0" w:line="240" w:lineRule="auto"/>
                                <w:jc w:val="center"/>
                                <w:textDirection w:val="btLr"/>
                              </w:pPr>
                            </w:p>
                          </w:txbxContent>
                        </wps:txbx>
                        <wps:bodyPr lIns="91425" tIns="45700" rIns="91425" bIns="45700" anchor="ctr" anchorCtr="0"/>
                      </wps:wsp>
                      <wps:wsp>
                        <wps:cNvPr id="10" name="Plaque 10"/>
                        <wps:cNvSpPr/>
                        <wps:spPr>
                          <a:xfrm>
                            <a:off x="35660" y="1239"/>
                            <a:ext cx="7525" cy="2039"/>
                          </a:xfrm>
                          <a:prstGeom prst="plaque">
                            <a:avLst>
                              <a:gd name="adj" fmla="val 16667"/>
                            </a:avLst>
                          </a:prstGeom>
                          <a:noFill/>
                          <a:ln w="9525" cap="flat" cmpd="sng">
                            <a:solidFill>
                              <a:srgbClr val="254061"/>
                            </a:solidFill>
                            <a:prstDash val="solid"/>
                            <a:miter/>
                            <a:headEnd type="none" w="med" len="med"/>
                            <a:tailEnd type="none" w="med" len="med"/>
                          </a:ln>
                        </wps:spPr>
                        <wps:txbx>
                          <w:txbxContent>
                            <w:p w:rsidR="001D2493" w:rsidRDefault="001D2493">
                              <w:pPr>
                                <w:spacing w:after="0" w:line="240" w:lineRule="auto"/>
                                <w:textDirection w:val="btLr"/>
                              </w:pPr>
                            </w:p>
                          </w:txbxContent>
                        </wps:txbx>
                        <wps:bodyPr lIns="91425" tIns="91425" rIns="91425" bIns="91425" anchor="ctr" anchorCtr="0"/>
                      </wps:wsp>
                    </wpg:grpSp>
                  </wpg:wgp>
                </a:graphicData>
              </a:graphic>
            </wp:anchor>
          </w:drawing>
        </mc:Choice>
        <mc:Fallback>
          <w:pict>
            <v:group id="Group 5" o:spid="_x0000_s1026" style="position:absolute;left:0;text-align:left;margin-left:-47pt;margin-top:-14pt;width:544pt;height:35pt;z-index:251658240;mso-position-horizontal-relative:margin" coordorigin="18896,35517" coordsize="69126,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" o:allowincell="f">
              <v:group id="Group 4" o:spid="_x0000_s1027" style="position:absolute;left:18896;top:35517;width:69127;height:4567" coordorigin=",586" coordsize="44621,2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top:586;width:44600;height:2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1D2493" w:rsidRDefault="001D2493">
                        <w:pPr>
                          <w:spacing w:after="0" w:line="240" w:lineRule="auto"/>
                          <w:textDirection w:val="btLr"/>
                        </w:pPr>
                      </w:p>
                    </w:txbxContent>
                  </v:textbox>
                </v:rect>
                <v:rect id="Rectangle 7" o:spid="_x0000_s1029" style="position:absolute;left:187;top:586;width:12395;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OS8QA&#10;AADaAAAADwAAAGRycy9kb3ducmV2LnhtbESPT2vCQBTE74LfYXlCb81GaaukrkECggehNK20x9fs&#10;Mwlm34bs5o/fvlsoeBxm5jfMNp1MIwbqXG1ZwTKKQRAXVtdcKvj8ODxuQDiPrLGxTApu5CDdzWdb&#10;TLQd+Z2G3JciQNglqKDyvk2kdEVFBl1kW+LgXWxn0AfZlVJ3OAa4aeQqjl+kwZrDQoUtZRUV17w3&#10;Cpohfjp//Tx/b/K6pNN1GjLbvyn1sJj2ryA8Tf4e/m8ftYI1/F0JN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TkvEAAAA2gAAAA8AAAAAAAAAAAAAAAAAmAIAAGRycy9k&#10;b3ducmV2LnhtbFBLBQYAAAAABAAEAPUAAACJAwAAAAA=&#10;" stroked="f">
                  <v:textbox inset="2.53958mm,1.2694mm,2.53958mm,1.2694mm">
                    <w:txbxContent>
                      <w:p w:rsidR="001D2493" w:rsidRDefault="001D2493">
                        <w:pPr>
                          <w:spacing w:before="80" w:after="0" w:line="240" w:lineRule="auto"/>
                          <w:ind w:firstLine="170"/>
                          <w:textDirection w:val="btLr"/>
                        </w:pP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top:2856;width:44621;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fp78AAADaAAAADwAAAGRycy9kb3ducmV2LnhtbERPy4rCMBTdC/5DuMLsNFVEho5RRkFQ&#10;GBc+Zn9prknH5qY2sda/Nwthlofzni87V4mWmlB6VjAeZSCIC69LNgrOp83wE0SIyBorz6TgSQGW&#10;i35vjrn2Dz5Qe4xGpBAOOSqwMda5lKGw5DCMfE2cuItvHMYEGyN1g48U7io5ybKZdFhyarBY09pS&#10;cT3enYK/nb9c98/Vz9mYw/T3ZuV+FlulPgbd9xeISF38F7/dW60gbU1X0g2Qi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kefp78AAADaAAAADwAAAAAAAAAAAAAAAACh&#10;AgAAZHJzL2Rvd25yZXYueG1sUEsFBgAAAAAEAAQA+QAAAI0DAAAAAA==&#10;" strokecolor="#4c818e" strokeweight="1pt"/>
                <v:rect id="Rectangle 9" o:spid="_x0000_s1031" style="position:absolute;left:35420;top:997;width:7981;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ntsAA&#10;AADaAAAADwAAAGRycy9kb3ducmV2LnhtbESPQYvCMBSE78L+h/AWvGlaD6JdYxFB2MP2YPUHPJpn&#10;U7Z5CU203X+/EQSPw8x8w+zKyfbiQUPoHCvIlxkI4sbpjlsF18tpsQERIrLG3jEp+KMA5f5jtsNC&#10;u5HP9KhjKxKEQ4EKTIy+kDI0hiyGpfPEybu5wWJMcmilHnBMcNvLVZatpcWO04JBT0dDzW99twru&#10;P6atat+PugqnVe4rvNkMlZp/TocvEJGm+A6/2t9awRaeV9IN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jntsAAAADaAAAADwAAAAAAAAAAAAAAAACYAgAAZHJzL2Rvd25y&#10;ZXYueG1sUEsFBgAAAAAEAAQA9QAAAIUDAAAAAA==&#10;" strokecolor="#307072">
                  <v:textbox inset="2.53958mm,1.2694mm,2.53958mm,1.2694mm">
                    <w:txbxContent>
                      <w:p w:rsidR="001D2493" w:rsidRDefault="001D2493">
                        <w:pPr>
                          <w:spacing w:after="0" w:line="240" w:lineRule="auto"/>
                          <w:jc w:val="center"/>
                          <w:textDirection w:val="btLr"/>
                        </w:pPr>
                      </w:p>
                    </w:txbxContent>
                  </v:textbox>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 o:spid="_x0000_s1032" type="#_x0000_t21" style="position:absolute;left:35660;top:1239;width:7525;height:2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ZIsUA&#10;AADbAAAADwAAAGRycy9kb3ducmV2LnhtbESPQWsCMRCF70L/Q5hCb5qth1K2RpFCi1REViv0OG7G&#10;3dDNJGxSXf995yB4m+G9ee+b2WLwnTpTn1xgA8+TAhRxHazjxsD3/mP8CiplZItdYDJwpQSL+cNo&#10;hqUNF67ovMuNkhBOJRpoc46l1qluyWOahEgs2in0HrOsfaNtjxcJ952eFsWL9uhYGlqM9N5S/bv7&#10;8wbWx7jZH1y13lbHz/hz0NuvpTsZ8/Q4LN9AZRry3Xy7XlnBF3r5RQ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9kixQAAANsAAAAPAAAAAAAAAAAAAAAAAJgCAABkcnMv&#10;ZG93bnJldi54bWxQSwUGAAAAAAQABAD1AAAAigMAAAAA&#10;" filled="f" strokecolor="#254061">
                  <v:textbox inset="2.53958mm,2.53958mm,2.53958mm,2.53958mm">
                    <w:txbxContent>
                      <w:p w:rsidR="001D2493" w:rsidRDefault="001D2493">
                        <w:pPr>
                          <w:spacing w:after="0" w:line="240" w:lineRule="auto"/>
                          <w:textDirection w:val="btLr"/>
                        </w:pPr>
                      </w:p>
                    </w:txbxContent>
                  </v:textbox>
                </v:shape>
              </v:group>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D2493"/>
    <w:rsid w:val="001D2493"/>
    <w:rsid w:val="00310C7B"/>
    <w:rsid w:val="00B34883"/>
    <w:rsid w:val="00C507BF"/>
    <w:rsid w:val="00C81AE5"/>
    <w:rsid w:val="00D712DC"/>
    <w:rsid w:val="00DB7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09C9D-2347-4CC7-BCAD-EB81F7E9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B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60"/>
  </w:style>
  <w:style w:type="paragraph" w:styleId="Footer">
    <w:name w:val="footer"/>
    <w:basedOn w:val="Normal"/>
    <w:link w:val="FooterChar"/>
    <w:uiPriority w:val="99"/>
    <w:unhideWhenUsed/>
    <w:rsid w:val="00DB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470</Words>
  <Characters>2683</Characters>
  <Application>Microsoft Office Word</Application>
  <DocSecurity>0</DocSecurity>
  <Lines>22</Lines>
  <Paragraphs>6</Paragraphs>
  <ScaleCrop>false</ScaleCrop>
  <Manager/>
  <Company>islamhouse.com</Company>
  <LinksUpToDate>false</LinksUpToDate>
  <CharactersWithSpaces>3147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什叶派和逊尼派之间的_x000d_敌意和善意、讹传和误解_x000d_</dc:title>
  <dc:subject>什叶派和逊尼派之间的_x000d_敌意和善意、讹传和误解_x000d_</dc:subject>
  <cp:keywords>什叶派和逊尼派之间的_x000d_敌意和善意、讹传和误解_x000d_</cp:keywords>
  <dc:description>什叶派和逊尼派之间的_x000d_敌意和善意、讹传和误解_x000d_</dc:description>
  <cp:lastModifiedBy>Mahmoud</cp:lastModifiedBy>
  <cp:revision>4</cp:revision>
  <dcterms:created xsi:type="dcterms:W3CDTF">2015-08-09T11:58:00Z</dcterms:created>
  <dcterms:modified xsi:type="dcterms:W3CDTF">2016-04-09T11:18:00Z</dcterms:modified>
  <cp:category/>
</cp:coreProperties>
</file>