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B81DFC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封斋的人使用鼻滴液的教法律列</w:t>
      </w:r>
      <w:proofErr w:type="spellEnd"/>
    </w:p>
    <w:p w:rsidR="001E15FA" w:rsidRDefault="001E15FA">
      <w:pPr>
        <w:spacing w:line="240" w:lineRule="auto"/>
        <w:jc w:val="center"/>
      </w:pPr>
    </w:p>
    <w:p w:rsidR="001E15FA" w:rsidRDefault="00B81DFC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حكم قطرة الأنف للصائم</w:t>
      </w:r>
    </w:p>
    <w:p w:rsidR="001E15FA" w:rsidRDefault="001E15FA">
      <w:pPr>
        <w:spacing w:after="60"/>
      </w:pPr>
    </w:p>
    <w:p w:rsidR="001E15FA" w:rsidRDefault="00B81DFC" w:rsidP="00DF51BB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98150C4" wp14:editId="61042CB8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15FA" w:rsidRDefault="001E15FA">
      <w:pPr>
        <w:jc w:val="center"/>
      </w:pPr>
    </w:p>
    <w:p w:rsidR="001E15FA" w:rsidRDefault="001E15FA">
      <w:pPr>
        <w:spacing w:after="0" w:line="240" w:lineRule="auto"/>
        <w:ind w:firstLine="113"/>
        <w:jc w:val="center"/>
      </w:pPr>
    </w:p>
    <w:p w:rsidR="001E15FA" w:rsidRDefault="00B81DFC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1E15FA" w:rsidRDefault="001E15FA">
      <w:pPr>
        <w:jc w:val="center"/>
      </w:pPr>
    </w:p>
    <w:p w:rsidR="001E15FA" w:rsidRDefault="00B81DFC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B81DFC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1E15FA">
      <w:pPr>
        <w:jc w:val="center"/>
      </w:pPr>
    </w:p>
    <w:p w:rsidR="001E15FA" w:rsidRDefault="00B81DFC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1E15FA" w:rsidRDefault="00B81DFC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1E15FA" w:rsidRDefault="001E15FA">
      <w:pPr>
        <w:jc w:val="center"/>
      </w:pPr>
    </w:p>
    <w:p w:rsidR="001E15FA" w:rsidRDefault="001E15FA">
      <w:pPr>
        <w:tabs>
          <w:tab w:val="left" w:pos="2461"/>
        </w:tabs>
        <w:jc w:val="center"/>
      </w:pPr>
    </w:p>
    <w:p w:rsidR="001E15FA" w:rsidRDefault="00B81DFC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封斋的人使用鼻滴液的教法律列</w:t>
      </w:r>
      <w:proofErr w:type="spellEnd"/>
    </w:p>
    <w:p w:rsidR="001E15FA" w:rsidRDefault="00B81DFC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15FA" w:rsidRDefault="001E15FA">
      <w:pPr>
        <w:tabs>
          <w:tab w:val="left" w:pos="753"/>
          <w:tab w:val="left" w:pos="3933"/>
          <w:tab w:val="center" w:pos="3968"/>
        </w:tabs>
      </w:pPr>
    </w:p>
    <w:p w:rsidR="00DF51BB" w:rsidRDefault="00DF51BB">
      <w:pPr>
        <w:tabs>
          <w:tab w:val="left" w:pos="753"/>
          <w:tab w:val="left" w:pos="3933"/>
          <w:tab w:val="center" w:pos="3968"/>
        </w:tabs>
      </w:pPr>
    </w:p>
    <w:p w:rsidR="00DF51BB" w:rsidRDefault="00DF51BB">
      <w:pPr>
        <w:tabs>
          <w:tab w:val="left" w:pos="753"/>
          <w:tab w:val="left" w:pos="3933"/>
          <w:tab w:val="center" w:pos="3968"/>
        </w:tabs>
      </w:pPr>
    </w:p>
    <w:p w:rsidR="001E15FA" w:rsidRDefault="00B81DFC">
      <w:pPr>
        <w:spacing w:after="0" w:line="480" w:lineRule="auto"/>
        <w:jc w:val="both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问：封斋的人在斋月的白天使用鼻滴液的教法律列是什么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?</w:t>
      </w:r>
    </w:p>
    <w:p w:rsidR="001E15FA" w:rsidRDefault="00B81DFC">
      <w:pPr>
        <w:spacing w:after="164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</w:t>
      </w:r>
      <w:proofErr w:type="gramStart"/>
      <w:r>
        <w:rPr>
          <w:rFonts w:ascii="SimSun" w:eastAsia="SimSun" w:hAnsi="SimSun" w:cs="SimSun"/>
          <w:sz w:val="30"/>
          <w:szCs w:val="30"/>
        </w:rPr>
        <w:t>,</w:t>
      </w:r>
      <w:r>
        <w:rPr>
          <w:rFonts w:ascii="SimSun" w:eastAsia="SimSun" w:hAnsi="SimSun" w:cs="SimSun"/>
          <w:sz w:val="30"/>
          <w:szCs w:val="30"/>
        </w:rPr>
        <w:t>全归真主</w:t>
      </w:r>
      <w:proofErr w:type="spellEnd"/>
      <w:proofErr w:type="gramEnd"/>
      <w:r>
        <w:rPr>
          <w:rFonts w:ascii="SimSun" w:eastAsia="SimSun" w:hAnsi="SimSun" w:cs="SimSun"/>
          <w:sz w:val="30"/>
          <w:szCs w:val="30"/>
        </w:rPr>
        <w:t>.</w:t>
      </w:r>
    </w:p>
    <w:p w:rsidR="001E15FA" w:rsidRDefault="00B81DFC">
      <w:pPr>
        <w:spacing w:after="164" w:line="480" w:lineRule="auto"/>
        <w:ind w:firstLine="600"/>
        <w:jc w:val="both"/>
      </w:pPr>
      <w:proofErr w:type="gramStart"/>
      <w:r>
        <w:rPr>
          <w:rFonts w:ascii="SimSun" w:eastAsia="SimSun" w:hAnsi="SimSun" w:cs="SimSun"/>
          <w:sz w:val="30"/>
          <w:szCs w:val="30"/>
        </w:rPr>
        <w:t>真主的使者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愿主福安之</w:t>
      </w:r>
      <w:r>
        <w:rPr>
          <w:rFonts w:ascii="SimSun" w:eastAsia="SimSun" w:hAnsi="SimSun" w:cs="SimSun"/>
          <w:sz w:val="30"/>
          <w:szCs w:val="30"/>
        </w:rPr>
        <w:t>)</w:t>
      </w:r>
      <w:r>
        <w:rPr>
          <w:rFonts w:ascii="SimSun" w:eastAsia="SimSun" w:hAnsi="SimSun" w:cs="SimSun"/>
          <w:sz w:val="30"/>
          <w:szCs w:val="30"/>
        </w:rPr>
        <w:t>说</w:t>
      </w:r>
      <w:r>
        <w:rPr>
          <w:rFonts w:ascii="SimSun" w:eastAsia="SimSun" w:hAnsi="SimSun" w:cs="SimSun"/>
          <w:sz w:val="30"/>
          <w:szCs w:val="30"/>
        </w:rPr>
        <w:t>:“</w:t>
      </w:r>
      <w:r>
        <w:rPr>
          <w:rFonts w:ascii="SimSun" w:eastAsia="SimSun" w:hAnsi="SimSun" w:cs="SimSun"/>
          <w:sz w:val="30"/>
          <w:szCs w:val="30"/>
        </w:rPr>
        <w:t>你应该尽量的呛鼻，除非你是封斋的人。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《提尔密集圣训实录》（</w:t>
      </w:r>
      <w:r>
        <w:rPr>
          <w:rFonts w:ascii="SimSun" w:eastAsia="SimSun" w:hAnsi="SimSun" w:cs="SimSun"/>
          <w:sz w:val="30"/>
          <w:szCs w:val="30"/>
        </w:rPr>
        <w:t>788</w:t>
      </w:r>
      <w:r>
        <w:rPr>
          <w:rFonts w:ascii="SimSun" w:eastAsia="SimSun" w:hAnsi="SimSun" w:cs="SimSun"/>
          <w:sz w:val="30"/>
          <w:szCs w:val="30"/>
        </w:rPr>
        <w:t>段）辑录，谢赫艾利巴尼认为这是正确的圣训。</w:t>
      </w:r>
    </w:p>
    <w:p w:rsidR="001E15FA" w:rsidRDefault="00B81DFC">
      <w:pPr>
        <w:spacing w:after="164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这段圣训说明封斋的人不能使水通过鼻腔进入喉咙；根据这一点，使用少量的鼻滴液，如果不会到达喉咙，则是可以的；如果数量较多，可以流到喉咙，并且感觉到在喉咙里有鼻滴液的味道，则其斋戒已经无效，必须要还补。</w:t>
      </w:r>
    </w:p>
    <w:p w:rsidR="001E15FA" w:rsidRDefault="00B81DFC">
      <w:pPr>
        <w:spacing w:after="164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巴兹（愿主怜悯之）说：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在眼睛和耳朵中使用的滴液同样不坏斋，这是学者们正确的主张；如果感觉到在喉咙到有滴液的味道，还补斋戒是最谨慎小心的做法，但不是必须的行为（瓦</w:t>
      </w:r>
      <w:r>
        <w:rPr>
          <w:rFonts w:ascii="SimSun" w:eastAsia="SimSun" w:hAnsi="SimSun" w:cs="SimSun"/>
          <w:sz w:val="30"/>
          <w:szCs w:val="30"/>
        </w:rPr>
        <w:t>直布）；因为眼睛和耳朵不是饮食进入的通道；至于使用鼻滴液，则是不允许的，因为鼻腔是通道，所以先知（愿主福安之）说：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你应该尽量的呛鼻，除非你是封斋的人。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根据这一段圣训，使用鼻滴液的人如果感觉到在喉咙里</w:t>
      </w:r>
      <w:r>
        <w:rPr>
          <w:rFonts w:ascii="SimSun" w:eastAsia="SimSun" w:hAnsi="SimSun" w:cs="SimSun"/>
          <w:sz w:val="30"/>
          <w:szCs w:val="30"/>
        </w:rPr>
        <w:lastRenderedPageBreak/>
        <w:t>有滴液的味道，则必须要还补斋戒。《谢赫伊本</w:t>
      </w:r>
      <w:r>
        <w:rPr>
          <w:rFonts w:ascii="SimSun" w:eastAsia="SimSun" w:hAnsi="SimSun" w:cs="SimSun"/>
          <w:sz w:val="30"/>
          <w:szCs w:val="30"/>
        </w:rPr>
        <w:t xml:space="preserve">· </w:t>
      </w:r>
      <w:proofErr w:type="spellStart"/>
      <w:r>
        <w:rPr>
          <w:rFonts w:ascii="SimSun" w:eastAsia="SimSun" w:hAnsi="SimSun" w:cs="SimSun"/>
          <w:sz w:val="30"/>
          <w:szCs w:val="30"/>
        </w:rPr>
        <w:t>巴兹法太瓦全集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15 / 260 </w:t>
      </w:r>
      <w:r>
        <w:rPr>
          <w:rFonts w:ascii="SimSun" w:eastAsia="SimSun" w:hAnsi="SimSun" w:cs="SimSun"/>
          <w:sz w:val="30"/>
          <w:szCs w:val="30"/>
        </w:rPr>
        <w:t>、</w:t>
      </w:r>
      <w:r>
        <w:rPr>
          <w:rFonts w:ascii="SimSun" w:eastAsia="SimSun" w:hAnsi="SimSun" w:cs="SimSun"/>
          <w:sz w:val="30"/>
          <w:szCs w:val="30"/>
        </w:rPr>
        <w:t xml:space="preserve"> 261 ) .</w:t>
      </w:r>
    </w:p>
    <w:p w:rsidR="001E15FA" w:rsidRDefault="00B81DFC">
      <w:pPr>
        <w:spacing w:after="164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欧赛米尼（愿主怜悯之）在《斋月的法太瓦》（第</w:t>
      </w:r>
      <w:r>
        <w:rPr>
          <w:rFonts w:ascii="SimSun" w:eastAsia="SimSun" w:hAnsi="SimSun" w:cs="SimSun"/>
          <w:sz w:val="30"/>
          <w:szCs w:val="30"/>
        </w:rPr>
        <w:t>511</w:t>
      </w:r>
      <w:r>
        <w:rPr>
          <w:rFonts w:ascii="SimSun" w:eastAsia="SimSun" w:hAnsi="SimSun" w:cs="SimSun"/>
          <w:sz w:val="30"/>
          <w:szCs w:val="30"/>
        </w:rPr>
        <w:t>页）中说：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如果鼻滴液到达喉咙、或者进入胃里，则其斋戒已经无效了；因为先知（愿主福安之）说：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你应该尽量的呛鼻，除非你是封斋的人。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如果鼻滴液没有</w:t>
      </w:r>
      <w:r>
        <w:rPr>
          <w:rFonts w:ascii="SimSun" w:eastAsia="SimSun" w:hAnsi="SimSun" w:cs="SimSun"/>
          <w:sz w:val="30"/>
          <w:szCs w:val="30"/>
        </w:rPr>
        <w:t>到达喉咙，或者没有进入胃里，则是不坏斋的；至于在眼睛和耳朵中使用的滴液和眼药，都是不坏斋的。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1E15FA" w:rsidRDefault="00B81DFC">
      <w:pPr>
        <w:spacing w:after="164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根据这一点，封斋的人不应该使用鼻滴液；如果不得不使用，则在使用的时候必须要谨慎小心，不能让它流到喉咙；如果把鼻滴液吞咽下去了，必须要还补斋戒；如果确知肯定会把一部分鼻滴液吞咽下去，则不允许使用鼻滴液；如果病情严重、封斋伤害身体、或者非常困难，则可以开斋，然后使用鼻滴液。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50555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）和（</w:t>
      </w:r>
      <w:hyperlink r:id="rId8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38532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1E15FA" w:rsidRDefault="00B81DFC" w:rsidP="00DF51BB">
      <w:pPr>
        <w:spacing w:after="164" w:line="480" w:lineRule="auto"/>
        <w:jc w:val="both"/>
      </w:pPr>
      <w:r>
        <w:rPr>
          <w:rFonts w:ascii="Arial Unicode MS" w:eastAsia="Arial Unicode MS" w:hAnsi="Arial Unicode MS" w:cs="Arial Unicode MS"/>
          <w:sz w:val="30"/>
          <w:szCs w:val="30"/>
        </w:rPr>
        <w:t> 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真主至知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1E15FA" w:rsidRDefault="00B81DFC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1E15FA" w:rsidRDefault="001E15FA">
      <w:pPr>
        <w:jc w:val="center"/>
      </w:pPr>
    </w:p>
    <w:sectPr w:rsidR="001E15FA">
      <w:headerReference w:type="default" r:id="rId9"/>
      <w:headerReference w:type="first" r:id="rId10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FC" w:rsidRDefault="00B81DFC">
      <w:pPr>
        <w:spacing w:after="0" w:line="240" w:lineRule="auto"/>
      </w:pPr>
      <w:r>
        <w:separator/>
      </w:r>
    </w:p>
  </w:endnote>
  <w:endnote w:type="continuationSeparator" w:id="0">
    <w:p w:rsidR="00B81DFC" w:rsidRDefault="00B8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FC" w:rsidRDefault="00B81DFC">
      <w:pPr>
        <w:spacing w:after="0" w:line="240" w:lineRule="auto"/>
      </w:pPr>
      <w:r>
        <w:separator/>
      </w:r>
    </w:p>
  </w:footnote>
  <w:footnote w:type="continuationSeparator" w:id="0">
    <w:p w:rsidR="00B81DFC" w:rsidRDefault="00B8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FA" w:rsidRDefault="001E15FA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FA" w:rsidRDefault="00B81DFC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15FA" w:rsidRDefault="001E15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15FA" w:rsidRDefault="00B81DF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1E15FA" w:rsidRDefault="001E15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1E15FA" w:rsidRDefault="00B81DFC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15FA"/>
    <w:rsid w:val="001E15FA"/>
    <w:rsid w:val="00B81DFC"/>
    <w:rsid w:val="00D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4D85E-C260-4D7F-939F-0636C9F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385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505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549</Characters>
  <Application>Microsoft Office Word</Application>
  <DocSecurity>0</DocSecurity>
  <Lines>49</Lines>
  <Paragraphs>18</Paragraphs>
  <ScaleCrop>false</ScaleCrop>
  <Manager/>
  <Company>islamhouse.com</Company>
  <LinksUpToDate>false</LinksUpToDate>
  <CharactersWithSpaces>1030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封斋的人使用鼻滴液的教法律列_x000d_</dc:title>
  <dc:subject>封斋的人使用鼻滴液的教法律列_x000d_</dc:subject>
  <dc:creator>伊斯兰问答网站</dc:creator>
  <cp:keywords>封斋的人使用鼻滴液的教法律列_x000d_</cp:keywords>
  <dc:description>封斋的人使用鼻滴液的教法律列_x000d_</dc:description>
  <cp:lastModifiedBy>elhashemy</cp:lastModifiedBy>
  <cp:revision>2</cp:revision>
  <dcterms:created xsi:type="dcterms:W3CDTF">2015-07-22T12:09:00Z</dcterms:created>
  <dcterms:modified xsi:type="dcterms:W3CDTF">2015-07-22T12:10:00Z</dcterms:modified>
  <cp:category/>
</cp:coreProperties>
</file>