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7B32" w:rsidRDefault="00B57B32"/>
    <w:p w:rsidR="00B57B32" w:rsidRDefault="0054787B">
      <w:pPr>
        <w:spacing w:line="240" w:lineRule="auto"/>
        <w:jc w:val="center"/>
      </w:pPr>
      <w:r>
        <w:rPr>
          <w:rFonts w:ascii="SimSun" w:eastAsia="SimSun" w:hAnsi="SimSun" w:cs="SimSun"/>
          <w:b/>
          <w:color w:val="385623"/>
          <w:sz w:val="48"/>
          <w:szCs w:val="48"/>
        </w:rPr>
        <w:t>“</w:t>
      </w:r>
      <w:proofErr w:type="spellStart"/>
      <w:r>
        <w:rPr>
          <w:rFonts w:ascii="SimSun" w:eastAsia="SimSun" w:hAnsi="SimSun" w:cs="SimSun"/>
          <w:b/>
          <w:color w:val="385623"/>
          <w:sz w:val="48"/>
          <w:szCs w:val="48"/>
        </w:rPr>
        <w:t>赞颂圣洁的主宰清净无染</w:t>
      </w:r>
      <w:r>
        <w:rPr>
          <w:rFonts w:ascii="SimSun" w:eastAsia="SimSun" w:hAnsi="SimSun" w:cs="SimSun"/>
          <w:b/>
          <w:color w:val="385623"/>
          <w:sz w:val="48"/>
          <w:szCs w:val="48"/>
        </w:rPr>
        <w:t>”</w:t>
      </w:r>
      <w:r>
        <w:rPr>
          <w:rFonts w:ascii="SimSun" w:eastAsia="SimSun" w:hAnsi="SimSun" w:cs="SimSun"/>
          <w:b/>
          <w:color w:val="385623"/>
          <w:sz w:val="48"/>
          <w:szCs w:val="48"/>
        </w:rPr>
        <w:t>是在奇数拜之后念的记主词，而不是在间歇拜中念的</w:t>
      </w:r>
      <w:proofErr w:type="spellEnd"/>
    </w:p>
    <w:p w:rsidR="00B57B32" w:rsidRDefault="00B57B32">
      <w:pPr>
        <w:spacing w:line="240" w:lineRule="auto"/>
        <w:jc w:val="center"/>
      </w:pPr>
    </w:p>
    <w:p w:rsidR="00B57B32" w:rsidRDefault="0054787B">
      <w:pPr>
        <w:spacing w:after="54"/>
        <w:jc w:val="center"/>
      </w:pPr>
      <w:r>
        <w:rPr>
          <w:rFonts w:ascii="Helvetica Neue" w:eastAsia="Helvetica Neue" w:hAnsi="Helvetica Neue" w:cs="Helvetica Neue"/>
          <w:color w:val="D60F0F"/>
          <w:sz w:val="19"/>
          <w:szCs w:val="19"/>
        </w:rPr>
        <w:t xml:space="preserve">: </w:t>
      </w:r>
      <w:r>
        <w:rPr>
          <w:rFonts w:ascii="Helvetica Neue" w:eastAsia="Helvetica Neue" w:hAnsi="Helvetica Neue" w:cs="Times New Roman"/>
          <w:b/>
          <w:color w:val="385623"/>
          <w:sz w:val="48"/>
          <w:szCs w:val="48"/>
          <w:rtl/>
        </w:rPr>
        <w:t>الذكر بـ سبحان الملك القدوس عقب الوتر وليس بين التراويح</w:t>
      </w:r>
    </w:p>
    <w:p w:rsidR="00B57B32" w:rsidRDefault="00B57B32">
      <w:pPr>
        <w:spacing w:after="60"/>
      </w:pPr>
    </w:p>
    <w:p w:rsidR="00B57B32" w:rsidRDefault="0054787B" w:rsidP="00450620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3012F635" wp14:editId="627C299E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7B32" w:rsidRDefault="00B57B32">
      <w:pPr>
        <w:jc w:val="center"/>
      </w:pPr>
    </w:p>
    <w:p w:rsidR="00B57B32" w:rsidRDefault="00B57B32">
      <w:pPr>
        <w:spacing w:after="0" w:line="240" w:lineRule="auto"/>
        <w:ind w:firstLine="113"/>
        <w:jc w:val="center"/>
      </w:pPr>
    </w:p>
    <w:p w:rsidR="00B57B32" w:rsidRDefault="0054787B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B57B32" w:rsidRDefault="00B57B32">
      <w:pPr>
        <w:jc w:val="center"/>
      </w:pPr>
    </w:p>
    <w:p w:rsidR="00B57B32" w:rsidRDefault="0054787B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B57B32" w:rsidRDefault="00B57B32">
      <w:pPr>
        <w:jc w:val="center"/>
      </w:pPr>
    </w:p>
    <w:p w:rsidR="00B57B32" w:rsidRDefault="00B57B32">
      <w:pPr>
        <w:jc w:val="center"/>
      </w:pPr>
    </w:p>
    <w:p w:rsidR="00B57B32" w:rsidRDefault="00B57B32">
      <w:pPr>
        <w:jc w:val="center"/>
      </w:pPr>
    </w:p>
    <w:p w:rsidR="00B57B32" w:rsidRDefault="00B57B32">
      <w:pPr>
        <w:jc w:val="center"/>
      </w:pPr>
    </w:p>
    <w:p w:rsidR="00B57B32" w:rsidRDefault="0054787B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B57B32" w:rsidRDefault="00B57B32">
      <w:pPr>
        <w:jc w:val="center"/>
      </w:pPr>
    </w:p>
    <w:p w:rsidR="00B57B32" w:rsidRDefault="00B57B32">
      <w:pPr>
        <w:jc w:val="center"/>
      </w:pPr>
    </w:p>
    <w:p w:rsidR="00B57B32" w:rsidRDefault="00B57B32">
      <w:pPr>
        <w:jc w:val="center"/>
      </w:pPr>
    </w:p>
    <w:p w:rsidR="00B57B32" w:rsidRDefault="0054787B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B57B32" w:rsidRDefault="0054787B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B57B32" w:rsidRDefault="00B57B32">
      <w:pPr>
        <w:jc w:val="center"/>
      </w:pPr>
    </w:p>
    <w:p w:rsidR="00B57B32" w:rsidRDefault="00B57B32">
      <w:pPr>
        <w:tabs>
          <w:tab w:val="left" w:pos="2461"/>
        </w:tabs>
        <w:jc w:val="center"/>
      </w:pPr>
    </w:p>
    <w:p w:rsidR="00B57B32" w:rsidRDefault="0054787B">
      <w:pPr>
        <w:tabs>
          <w:tab w:val="left" w:pos="753"/>
          <w:tab w:val="left" w:pos="3933"/>
          <w:tab w:val="center" w:pos="3968"/>
        </w:tabs>
        <w:jc w:val="center"/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“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赞颂圣洁的主宰清净无染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”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是在奇数拜之后念的记主词，而不是在间歇拜中念的</w:t>
      </w:r>
      <w:proofErr w:type="spellEnd"/>
    </w:p>
    <w:p w:rsidR="00B57B32" w:rsidRDefault="0054787B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7B32" w:rsidRDefault="00B57B32">
      <w:pPr>
        <w:tabs>
          <w:tab w:val="left" w:pos="753"/>
          <w:tab w:val="left" w:pos="3933"/>
          <w:tab w:val="center" w:pos="3968"/>
        </w:tabs>
      </w:pPr>
    </w:p>
    <w:p w:rsidR="00B57B32" w:rsidRDefault="0054787B">
      <w:pPr>
        <w:spacing w:after="0" w:line="480" w:lineRule="auto"/>
        <w:ind w:left="602" w:hanging="602"/>
        <w:jc w:val="both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问：每做完八拜或者四拜间歇拜之后可以念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“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赞颂圣洁的主宰清净无染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”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吗？它不是在做完奇数拜之后应该念的记主词吗？如果我们想在家里做奇数拜，可以在清真寺里念这个记主词吗？每做完两拜间歇拜之后应该念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“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求恕词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”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吗？</w:t>
      </w:r>
    </w:p>
    <w:p w:rsidR="00B57B32" w:rsidRDefault="0054787B">
      <w:pPr>
        <w:spacing w:after="107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在正确的圣训中记载：先知（愿主福安之）在奇数拜之后念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，所以做礼拜的人应该仿效先知（愿主福安之）的这个圣行，无论在清真寺或者在家里做礼拜，无论单独或者集体做礼拜都一样，教法没有</w:t>
      </w:r>
      <w:r>
        <w:rPr>
          <w:rFonts w:ascii="SimSun" w:eastAsia="SimSun" w:hAnsi="SimSun" w:cs="SimSun"/>
          <w:sz w:val="30"/>
          <w:szCs w:val="30"/>
        </w:rPr>
        <w:t>规定在夜间拜或者间歇拜中念这个记主词，因为先知（愿主福安之）和圣门弟子都没有在间歇拜中念过这个记主词，所以穆斯林应该一丝不苟的紧跟圣行，不增不减。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阿卜杜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拉赫曼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艾布扎（愿主喜悦之）传述：真主的使者（愿主福安之）在奇数拜中念《至尊章》、《不信道的人们章》和《忠诚章》；如果他说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瑟兰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结束奇数拜时，他</w:t>
      </w:r>
      <w:r>
        <w:rPr>
          <w:rFonts w:ascii="SimSun" w:eastAsia="SimSun" w:hAnsi="SimSun" w:cs="SimSun"/>
          <w:sz w:val="30"/>
          <w:szCs w:val="30"/>
        </w:rPr>
        <w:lastRenderedPageBreak/>
        <w:t>念：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三次，在第三次中提高了声音。艾布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达乌德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托亚里斯在《木斯奈德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1 / 441)</w:t>
      </w:r>
      <w:r>
        <w:rPr>
          <w:rFonts w:ascii="SimSun" w:eastAsia="SimSun" w:hAnsi="SimSun" w:cs="SimSun"/>
          <w:sz w:val="30"/>
          <w:szCs w:val="30"/>
        </w:rPr>
        <w:t>、</w:t>
      </w: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哲尔德在《木斯奈德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 / 86</w:t>
      </w:r>
      <w:r>
        <w:rPr>
          <w:rFonts w:ascii="SimSun" w:eastAsia="SimSun" w:hAnsi="SimSun" w:cs="SimSun"/>
          <w:sz w:val="30"/>
          <w:szCs w:val="30"/>
        </w:rPr>
        <w:t>）、</w:t>
      </w: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舍柏在《姆算尼夫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2 / 93</w:t>
      </w:r>
      <w:r>
        <w:rPr>
          <w:rFonts w:ascii="SimSun" w:eastAsia="SimSun" w:hAnsi="SimSun" w:cs="SimSun"/>
          <w:sz w:val="30"/>
          <w:szCs w:val="30"/>
        </w:rPr>
        <w:t>）、</w:t>
      </w:r>
      <w:proofErr w:type="spellStart"/>
      <w:r>
        <w:rPr>
          <w:rFonts w:ascii="SimSun" w:eastAsia="SimSun" w:hAnsi="SimSun" w:cs="SimSun"/>
          <w:sz w:val="30"/>
          <w:szCs w:val="30"/>
        </w:rPr>
        <w:t>伊玛目艾哈迈德在《木斯奈德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24 / 72</w:t>
      </w:r>
      <w:r>
        <w:rPr>
          <w:rFonts w:ascii="SimSun" w:eastAsia="SimSun" w:hAnsi="SimSun" w:cs="SimSun"/>
          <w:sz w:val="30"/>
          <w:szCs w:val="30"/>
        </w:rPr>
        <w:t>）和其他学者通过各种途径辑录，许多圣训学家和考证学家认为这是正确的圣训，比如伊本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穆兰格尼、谢赫艾利巴尼、谢赫姆格比利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瓦迪仪和《艾哈迈德木斯奈德圣训集》的考证学家等。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许多圣训学家编辑了专门的一章：论在奇数拜之后念这个记主词是可嘉的行为（穆斯太罕布）；伊本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舍柏编辑的一章是：在奇数拜之后念的记主词和祈祷词；艾布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达乌德（椰枣怜悯之）编辑的一章是：论奇数拜之后的祈祷词；奈萨伊（愿主怜悯之）编辑的一章是：论奇数拜之后念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赞颂真主清净无染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；伊本韩巴尼在他的圣训</w:t>
      </w:r>
      <w:r>
        <w:rPr>
          <w:rFonts w:ascii="SimSun" w:eastAsia="SimSun" w:hAnsi="SimSun" w:cs="SimSun"/>
          <w:sz w:val="30"/>
          <w:szCs w:val="30"/>
        </w:rPr>
        <w:t>实录中编辑的一章是：论奇数拜结束的时候念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赞颂真主清净无染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，以及在最后一次中提高声音是可嘉的行为（穆斯太罕布）。</w:t>
      </w:r>
    </w:p>
    <w:p w:rsidR="00B57B32" w:rsidRDefault="0054787B">
      <w:pPr>
        <w:spacing w:after="107" w:line="480" w:lineRule="auto"/>
        <w:ind w:firstLine="600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伊玛目脑威（愿主怜悯之）说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在奇数拜之后念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三次是可嘉的行为（穆斯太罕布</w:t>
      </w:r>
      <w:proofErr w:type="spellEnd"/>
      <w:r>
        <w:rPr>
          <w:rFonts w:ascii="SimSun" w:eastAsia="SimSun" w:hAnsi="SimSun" w:cs="SimSun"/>
          <w:sz w:val="30"/>
          <w:szCs w:val="30"/>
        </w:rPr>
        <w:t>）。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</w:t>
      </w:r>
      <w:proofErr w:type="spellStart"/>
      <w:r>
        <w:rPr>
          <w:rFonts w:ascii="SimSun" w:eastAsia="SimSun" w:hAnsi="SimSun" w:cs="SimSun"/>
          <w:sz w:val="30"/>
          <w:szCs w:val="30"/>
        </w:rPr>
        <w:t>总汇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4 / 16</w:t>
      </w:r>
      <w:r>
        <w:rPr>
          <w:rFonts w:ascii="SimSun" w:eastAsia="SimSun" w:hAnsi="SimSun" w:cs="SimSun"/>
          <w:sz w:val="30"/>
          <w:szCs w:val="30"/>
        </w:rPr>
        <w:t>），</w:t>
      </w:r>
      <w:proofErr w:type="spellStart"/>
      <w:r>
        <w:rPr>
          <w:rFonts w:ascii="SimSun" w:eastAsia="SimSun" w:hAnsi="SimSun" w:cs="SimSun"/>
          <w:sz w:val="30"/>
          <w:szCs w:val="30"/>
        </w:rPr>
        <w:t>敬请参阅《需求者的珍宝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2 / 227)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古达麦（愿主怜悯之）说：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在奇数拜之后念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三次是可嘉的行为（穆斯太罕布），在第三次中应该提高声音。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《穆额尼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2 / 122)</w:t>
      </w:r>
      <w:r>
        <w:rPr>
          <w:rFonts w:ascii="SimSun" w:eastAsia="SimSun" w:hAnsi="SimSun" w:cs="SimSun"/>
          <w:sz w:val="30"/>
          <w:szCs w:val="30"/>
        </w:rPr>
        <w:t>；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在《学术研究和教法律列常任委员会法太瓦第二集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6 / 6</w:t>
      </w:r>
      <w:r>
        <w:rPr>
          <w:rFonts w:ascii="SimSun" w:eastAsia="SimSun" w:hAnsi="SimSun" w:cs="SimSun"/>
          <w:sz w:val="30"/>
          <w:szCs w:val="30"/>
        </w:rPr>
        <w:t>0</w:t>
      </w:r>
      <w:r>
        <w:rPr>
          <w:rFonts w:ascii="SimSun" w:eastAsia="SimSun" w:hAnsi="SimSun" w:cs="SimSun"/>
          <w:sz w:val="30"/>
          <w:szCs w:val="30"/>
        </w:rPr>
        <w:t>）中说：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如果说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瑟兰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结束了奇数拜，念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三次。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B57B32" w:rsidRDefault="0054787B">
      <w:pPr>
        <w:spacing w:after="107" w:line="480" w:lineRule="auto"/>
        <w:ind w:firstLine="600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因此，我们没有发现任何学者主张在奇数拜之外的副功拜中念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是可嘉的行为（穆斯太罕布</w:t>
      </w:r>
      <w:proofErr w:type="spellEnd"/>
      <w:r>
        <w:rPr>
          <w:rFonts w:ascii="SimSun" w:eastAsia="SimSun" w:hAnsi="SimSun" w:cs="SimSun"/>
          <w:sz w:val="30"/>
          <w:szCs w:val="30"/>
        </w:rPr>
        <w:t>）。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我们在本网站中已经声明：某些清真寺在间歇拜中集体念记主词是教法禁止的行为，无论念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求恕词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或者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赞颂真主清净无染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都一样，无根无据的聚众念记主词是接近异端和远离圣行的行为。</w:t>
      </w:r>
    </w:p>
    <w:p w:rsidR="00B57B32" w:rsidRDefault="0054787B">
      <w:pPr>
        <w:spacing w:after="107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lastRenderedPageBreak/>
        <w:t>总而言之：在间歇拜中念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赞颂圣洁的主宰清净无染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不是教法规定的做法，这是在奇数拜之后念的记主词，在间歇拜中集体念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求恕词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也不是教法规定的做法，如果个人单独念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求恕词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和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赞颂真主清净无染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，这是可以的。</w:t>
      </w:r>
    </w:p>
    <w:p w:rsidR="00B57B32" w:rsidRDefault="0054787B">
      <w:pPr>
        <w:spacing w:after="107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欲了解更多内容，敬请参阅（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37753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）、（</w:t>
      </w:r>
      <w:hyperlink r:id="rId8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50718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）、（</w:t>
      </w:r>
      <w:hyperlink r:id="rId9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10806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）、（</w:t>
      </w:r>
      <w:hyperlink r:id="rId10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121270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）和（</w:t>
      </w:r>
      <w:hyperlink r:id="rId11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190881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）问题的回答。</w:t>
      </w:r>
    </w:p>
    <w:p w:rsidR="00B57B32" w:rsidRDefault="00450620" w:rsidP="00450620">
      <w:pPr>
        <w:spacing w:after="107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bookmarkStart w:id="0" w:name="_GoBack"/>
      <w:bookmarkEnd w:id="0"/>
      <w:proofErr w:type="spellEnd"/>
      <w:r w:rsidR="0054787B"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 w:rsidR="0054787B"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B57B32" w:rsidRDefault="0054787B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B57B32" w:rsidRDefault="00B57B32">
      <w:pPr>
        <w:jc w:val="center"/>
      </w:pPr>
    </w:p>
    <w:sectPr w:rsidR="00B57B32">
      <w:headerReference w:type="default" r:id="rId12"/>
      <w:headerReference w:type="first" r:id="rId13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7B" w:rsidRDefault="0054787B">
      <w:pPr>
        <w:spacing w:after="0" w:line="240" w:lineRule="auto"/>
      </w:pPr>
      <w:r>
        <w:separator/>
      </w:r>
    </w:p>
  </w:endnote>
  <w:endnote w:type="continuationSeparator" w:id="0">
    <w:p w:rsidR="0054787B" w:rsidRDefault="0054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7B" w:rsidRDefault="0054787B">
      <w:pPr>
        <w:spacing w:after="0" w:line="240" w:lineRule="auto"/>
      </w:pPr>
      <w:r>
        <w:separator/>
      </w:r>
    </w:p>
  </w:footnote>
  <w:footnote w:type="continuationSeparator" w:id="0">
    <w:p w:rsidR="0054787B" w:rsidRDefault="0054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2" w:rsidRDefault="00B57B32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2" w:rsidRDefault="0054787B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7B32" w:rsidRDefault="00B57B3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7B32" w:rsidRDefault="0054787B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B57B32" w:rsidRDefault="00B57B3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B57B32" w:rsidRDefault="0054787B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B32"/>
    <w:rsid w:val="00450620"/>
    <w:rsid w:val="0054787B"/>
    <w:rsid w:val="00B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5A026-7F00-4A14-A502-C841D8A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50718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3775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slamqa.info/zh/19088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212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lamqa.info/zh/1080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963</Characters>
  <Application>Microsoft Office Word</Application>
  <DocSecurity>0</DocSecurity>
  <Lines>68</Lines>
  <Paragraphs>24</Paragraphs>
  <ScaleCrop>false</ScaleCrop>
  <Manager/>
  <Company>islamhouse.com</Company>
  <LinksUpToDate>false</LinksUpToDate>
  <CharactersWithSpaces>1813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“赞颂圣洁的主宰清净无染”是在奇数拜之后念的记主词，而不是在间歇拜中念的_x000d_</dc:title>
  <dc:subject>“赞颂圣洁的主宰清净无染”是在奇数拜之后念的记主词，而不是在间歇拜中念的_x000d_</dc:subject>
  <dc:creator>伊斯兰问答网站</dc:creator>
  <cp:keywords>“赞颂圣洁的主宰清净无染”是在奇数拜之后念的记主词，而不是在间歇拜中念的_x000d_</cp:keywords>
  <dc:description>“赞颂圣洁的主宰清净无染”是在奇数拜之后念的记主词，而不是在间歇拜中念的_x000d_</dc:description>
  <cp:lastModifiedBy>elhashemy</cp:lastModifiedBy>
  <cp:revision>2</cp:revision>
  <dcterms:created xsi:type="dcterms:W3CDTF">2015-07-21T09:47:00Z</dcterms:created>
  <dcterms:modified xsi:type="dcterms:W3CDTF">2015-07-21T09:48:00Z</dcterms:modified>
  <cp:category/>
</cp:coreProperties>
</file>