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7044" w:rsidRDefault="00BF7044">
      <w:pPr>
        <w:jc w:val="center"/>
      </w:pPr>
    </w:p>
    <w:p w:rsidR="00BF7044" w:rsidRDefault="00BF7044">
      <w:pPr>
        <w:jc w:val="center"/>
      </w:pPr>
    </w:p>
    <w:p w:rsidR="00BF7044" w:rsidRDefault="000A27AE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只要违背圣行就是异端行为吗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？</w:t>
      </w:r>
    </w:p>
    <w:p w:rsidR="00BF7044" w:rsidRDefault="00BF7044">
      <w:pPr>
        <w:spacing w:line="240" w:lineRule="auto"/>
        <w:jc w:val="center"/>
      </w:pPr>
    </w:p>
    <w:p w:rsidR="00BF7044" w:rsidRDefault="000A27AE">
      <w:pPr>
        <w:spacing w:after="82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هل كل من خالف السنَّة وقع في البدعة ؟ وتنبيهات على معنى الاتباع</w:t>
      </w:r>
    </w:p>
    <w:p w:rsidR="00BF7044" w:rsidRDefault="00BF7044">
      <w:pPr>
        <w:spacing w:after="60"/>
      </w:pPr>
    </w:p>
    <w:p w:rsidR="00BF7044" w:rsidRDefault="000A27AE">
      <w:pPr>
        <w:jc w:val="center"/>
      </w:pPr>
      <w:r>
        <w:rPr>
          <w:b/>
          <w:sz w:val="30"/>
          <w:szCs w:val="30"/>
        </w:rPr>
        <w:t>[</w:t>
      </w:r>
      <w:r>
        <w:rPr>
          <w:rFonts w:ascii="Tahoma" w:eastAsia="Tahoma" w:hAnsi="Tahoma" w:cs="Tahoma"/>
          <w:b/>
          <w:sz w:val="30"/>
          <w:szCs w:val="30"/>
          <w:rtl/>
        </w:rPr>
        <w:t>باللغة</w:t>
      </w:r>
      <w:r>
        <w:rPr>
          <w:b/>
          <w:sz w:val="30"/>
          <w:szCs w:val="30"/>
          <w:rtl/>
        </w:rPr>
        <w:t xml:space="preserve"> </w:t>
      </w:r>
      <w:proofErr w:type="gramStart"/>
      <w:r>
        <w:rPr>
          <w:rFonts w:ascii="Tahoma" w:eastAsia="Tahoma" w:hAnsi="Tahoma" w:cs="Tahoma"/>
          <w:b/>
          <w:sz w:val="30"/>
          <w:szCs w:val="30"/>
          <w:rtl/>
        </w:rPr>
        <w:t>الصينية</w:t>
      </w:r>
      <w:r>
        <w:rPr>
          <w:b/>
          <w:sz w:val="30"/>
          <w:szCs w:val="30"/>
        </w:rPr>
        <w:t xml:space="preserve"> ]</w:t>
      </w:r>
      <w:proofErr w:type="gramEnd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7044" w:rsidRDefault="00BF7044">
      <w:pPr>
        <w:jc w:val="center"/>
      </w:pPr>
    </w:p>
    <w:p w:rsidR="00BF7044" w:rsidRDefault="00BF7044">
      <w:pPr>
        <w:spacing w:after="0" w:line="240" w:lineRule="auto"/>
        <w:ind w:firstLine="113"/>
        <w:jc w:val="center"/>
      </w:pPr>
    </w:p>
    <w:p w:rsidR="00BF7044" w:rsidRDefault="000A27AE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BF7044" w:rsidRDefault="00BF7044">
      <w:pPr>
        <w:jc w:val="center"/>
      </w:pPr>
    </w:p>
    <w:p w:rsidR="00BF7044" w:rsidRDefault="000A27AE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BF7044" w:rsidRDefault="00BF7044">
      <w:pPr>
        <w:jc w:val="center"/>
      </w:pPr>
    </w:p>
    <w:p w:rsidR="00BF7044" w:rsidRDefault="00BF7044">
      <w:pPr>
        <w:jc w:val="center"/>
      </w:pPr>
    </w:p>
    <w:p w:rsidR="00BF7044" w:rsidRDefault="00BF7044">
      <w:pPr>
        <w:jc w:val="center"/>
      </w:pPr>
    </w:p>
    <w:p w:rsidR="00BF7044" w:rsidRDefault="00BF7044">
      <w:pPr>
        <w:jc w:val="center"/>
      </w:pPr>
    </w:p>
    <w:p w:rsidR="00BF7044" w:rsidRDefault="000A27AE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BF7044" w:rsidRDefault="00BF7044">
      <w:pPr>
        <w:jc w:val="center"/>
      </w:pPr>
    </w:p>
    <w:p w:rsidR="00BF7044" w:rsidRDefault="00BF7044">
      <w:pPr>
        <w:jc w:val="center"/>
      </w:pPr>
    </w:p>
    <w:p w:rsidR="00BF7044" w:rsidRDefault="00BF7044">
      <w:pPr>
        <w:jc w:val="center"/>
      </w:pPr>
    </w:p>
    <w:p w:rsidR="00BF7044" w:rsidRDefault="000A27AE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BF7044" w:rsidRDefault="000A27AE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BF7044" w:rsidRDefault="00BF7044">
      <w:pPr>
        <w:tabs>
          <w:tab w:val="left" w:pos="2461"/>
        </w:tabs>
      </w:pPr>
    </w:p>
    <w:p w:rsidR="00BF7044" w:rsidRDefault="000A27AE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只要违背圣行就是异端行为吗</w:t>
      </w:r>
      <w:proofErr w:type="spellEnd"/>
      <w:r>
        <w:rPr>
          <w:rFonts w:ascii="SimSun" w:eastAsia="SimSun" w:hAnsi="SimSun" w:cs="SimSun"/>
          <w:b/>
          <w:sz w:val="32"/>
          <w:szCs w:val="32"/>
        </w:rPr>
        <w:t>？</w:t>
      </w:r>
    </w:p>
    <w:p w:rsidR="00BF7044" w:rsidRDefault="000A27AE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7044" w:rsidRDefault="00BF7044">
      <w:pPr>
        <w:tabs>
          <w:tab w:val="left" w:pos="753"/>
          <w:tab w:val="left" w:pos="3933"/>
          <w:tab w:val="center" w:pos="3968"/>
        </w:tabs>
      </w:pPr>
    </w:p>
    <w:p w:rsidR="00BF7044" w:rsidRDefault="000A27AE">
      <w:pPr>
        <w:spacing w:after="0" w:line="480" w:lineRule="auto"/>
        <w:ind w:left="602" w:hanging="602"/>
      </w:pPr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问：我读了关于异端行为的许多法太瓦，我得出的总结就是仆人在宗教功修中必须要完全跟随先知（愿主福安之），在跟随的过程中，假如在微不足道的事情中违背了圣行，就是做出了异端行为，这是正确的吗？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 </w:t>
      </w:r>
      <w:r>
        <w:rPr>
          <w:rFonts w:ascii="SimSun" w:eastAsia="SimSun" w:hAnsi="SimSun" w:cs="SimSun"/>
          <w:b/>
          <w:color w:val="FF0000"/>
          <w:sz w:val="30"/>
          <w:szCs w:val="30"/>
        </w:rPr>
        <w:br/>
      </w:r>
      <w:r>
        <w:rPr>
          <w:rFonts w:ascii="SimSun" w:eastAsia="SimSun" w:hAnsi="SimSun" w:cs="SimSun"/>
          <w:b/>
          <w:color w:val="FF0000"/>
          <w:sz w:val="30"/>
          <w:szCs w:val="30"/>
        </w:rPr>
        <w:t>但是这句话看起来好像我们的大部分宗教功修中都掺和着异端，比如来说：先知（愿主福安之）强调在集体礼拜中祈祷的优越性，所以许多人在礼拜之后祈祷，可以说他们的这是异端行为吗？！功修仍然是功修，只是时间略有不同；让我们再举一个例子：假如一个人喜欢在星期一或者星期二诵读《山洞章》，而没有在聚礼日诵读《山洞章》，这种做法也是异端行为</w:t>
      </w:r>
      <w:r>
        <w:rPr>
          <w:rFonts w:ascii="SimSun" w:eastAsia="SimSun" w:hAnsi="SimSun" w:cs="SimSun"/>
          <w:b/>
          <w:color w:val="FF0000"/>
          <w:sz w:val="30"/>
          <w:szCs w:val="30"/>
        </w:rPr>
        <w:t>吗？是否可以这样理解：不仅要跟随完成功修的方式，而且要跟随完成功修的时间，如果在完成功修的过程中违背了时间，也被认为是异端行为？</w:t>
      </w:r>
    </w:p>
    <w:p w:rsidR="00BF7044" w:rsidRDefault="000A27AE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BF7044" w:rsidRDefault="000A27AE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第一：是的，穆斯林在宗教功修当中必须要跟随先知（愿主福安之），不能违背圣行，也不能在宗教当中标新立异，因为许多教法证据都强调必须要跟随圣行、禁止标新立异。</w:t>
      </w:r>
    </w:p>
    <w:p w:rsidR="00BF7044" w:rsidRDefault="000A27AE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但是必须要知道违背跟随的行为体现在两个方面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BF7044" w:rsidRDefault="000A27AE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第一个方面：创新在教法当中无根无据的宗教功修，比如抚摸坟墓，向坟墓中的亡人求救，学者们把这些行为称之为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真正的异端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，就是在教法当中毫无证据的功修。</w:t>
      </w:r>
    </w:p>
    <w:p w:rsidR="00BF7044" w:rsidRDefault="000A27AE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第二</w:t>
      </w:r>
      <w:r>
        <w:rPr>
          <w:rFonts w:ascii="SimSun" w:eastAsia="SimSun" w:hAnsi="SimSun" w:cs="SimSun"/>
          <w:sz w:val="30"/>
          <w:szCs w:val="30"/>
        </w:rPr>
        <w:t>个方面：本来是合法的宗教功修，但是在确定履行功修的时间、地点、数目、方式或者原因中发生了违背圣行的行为，被称为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附加的异端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，只有在长期反复履行的时候才会成为异端，假如只履行一次或者两次，没有长期履行，则不是异端，比如在有的夜间集体做夜间拜，但是没有相信这个功修具有特别的优越性。</w:t>
      </w:r>
    </w:p>
    <w:p w:rsidR="00BF7044" w:rsidRDefault="000A27AE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第二：在礼拜当中和礼拜之后祈祷都是合法的，这是最侧重的主张，但是集体祈祷是禁止的</w:t>
      </w:r>
      <w:proofErr w:type="spellEnd"/>
      <w:r>
        <w:rPr>
          <w:rFonts w:ascii="SimSun" w:eastAsia="SimSun" w:hAnsi="SimSun" w:cs="SimSun"/>
          <w:sz w:val="30"/>
          <w:szCs w:val="30"/>
        </w:rPr>
        <w:t>；</w:t>
      </w:r>
    </w:p>
    <w:p w:rsidR="00BF7044" w:rsidRDefault="000A27AE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礼拜之后可以祈祷的教法证据如下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BF7044" w:rsidRDefault="000A27AE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 xml:space="preserve">1 </w:t>
      </w:r>
      <w:r>
        <w:rPr>
          <w:rFonts w:ascii="SimSun" w:eastAsia="SimSun" w:hAnsi="SimSun" w:cs="SimSun"/>
          <w:sz w:val="30"/>
          <w:szCs w:val="30"/>
        </w:rPr>
        <w:t>阿里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艾布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塔利布（愿主喜悦之）传述：先知（愿主福安之）如果以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色蓝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结束礼拜的时候，就祈祷：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主啊，求你饶</w:t>
      </w:r>
      <w:r>
        <w:rPr>
          <w:rFonts w:ascii="SimSun" w:eastAsia="SimSun" w:hAnsi="SimSun" w:cs="SimSun"/>
          <w:sz w:val="30"/>
          <w:szCs w:val="30"/>
        </w:rPr>
        <w:t>恕我的过错，以前的、往后的、隐秘的、公开的、过分的、以及你在我的身上最清楚的一切过错，你是使人提前的、</w:t>
      </w:r>
      <w:r>
        <w:rPr>
          <w:rFonts w:ascii="SimSun" w:eastAsia="SimSun" w:hAnsi="SimSun" w:cs="SimSun"/>
          <w:sz w:val="30"/>
          <w:szCs w:val="30"/>
        </w:rPr>
        <w:lastRenderedPageBreak/>
        <w:t>你是使人退后的，万物非主，唯有你是真主。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《艾布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达伍德圣训实录》（</w:t>
      </w:r>
      <w:r>
        <w:rPr>
          <w:rFonts w:ascii="SimSun" w:eastAsia="SimSun" w:hAnsi="SimSun" w:cs="SimSun"/>
          <w:sz w:val="30"/>
          <w:szCs w:val="30"/>
        </w:rPr>
        <w:t>1509</w:t>
      </w:r>
      <w:r>
        <w:rPr>
          <w:rFonts w:ascii="SimSun" w:eastAsia="SimSun" w:hAnsi="SimSun" w:cs="SimSun"/>
          <w:sz w:val="30"/>
          <w:szCs w:val="30"/>
        </w:rPr>
        <w:t>段）辑录</w:t>
      </w:r>
    </w:p>
    <w:p w:rsidR="00BF7044" w:rsidRDefault="000A27AE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 xml:space="preserve">2 </w:t>
      </w:r>
      <w:r>
        <w:rPr>
          <w:rFonts w:ascii="SimSun" w:eastAsia="SimSun" w:hAnsi="SimSun" w:cs="SimSun"/>
          <w:sz w:val="30"/>
          <w:szCs w:val="30"/>
        </w:rPr>
        <w:t>艾布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乌玛麦（愿主喜悦之）传述：有人问真主的使者（愿主福安之）：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哪一种祈祷是真主最能够倾听的？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先知（愿主福安之）说：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后半夜和主命拜之后的祈祷。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《提尔密集圣训实录》（</w:t>
      </w:r>
      <w:r>
        <w:rPr>
          <w:rFonts w:ascii="SimSun" w:eastAsia="SimSun" w:hAnsi="SimSun" w:cs="SimSun"/>
          <w:sz w:val="30"/>
          <w:szCs w:val="30"/>
        </w:rPr>
        <w:t>3499</w:t>
      </w:r>
      <w:r>
        <w:rPr>
          <w:rFonts w:ascii="SimSun" w:eastAsia="SimSun" w:hAnsi="SimSun" w:cs="SimSun"/>
          <w:sz w:val="30"/>
          <w:szCs w:val="30"/>
        </w:rPr>
        <w:t>段）辑录，谢赫艾利巴尼在《鼓励和警告的正确圣训》中认为这是正确的圣训。</w:t>
      </w:r>
    </w:p>
    <w:p w:rsidR="00BF7044" w:rsidRDefault="000A27AE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欧格白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阿米尔（愿主喜悦之）传述：真主的使者（愿主福安之）命令我</w:t>
      </w:r>
      <w:r>
        <w:rPr>
          <w:rFonts w:ascii="SimSun" w:eastAsia="SimSun" w:hAnsi="SimSun" w:cs="SimSun"/>
          <w:sz w:val="30"/>
          <w:szCs w:val="30"/>
        </w:rPr>
        <w:t>在每一番礼拜的后面念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祈求护佑的章节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，《艾哈迈德圣训集》（</w:t>
      </w:r>
      <w:r>
        <w:rPr>
          <w:rFonts w:ascii="SimSun" w:eastAsia="SimSun" w:hAnsi="SimSun" w:cs="SimSun"/>
          <w:sz w:val="30"/>
          <w:szCs w:val="30"/>
        </w:rPr>
        <w:t>17453</w:t>
      </w:r>
      <w:r>
        <w:rPr>
          <w:rFonts w:ascii="SimSun" w:eastAsia="SimSun" w:hAnsi="SimSun" w:cs="SimSun"/>
          <w:sz w:val="30"/>
          <w:szCs w:val="30"/>
        </w:rPr>
        <w:t>段）和《艾布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达伍德圣训实录》（</w:t>
      </w:r>
      <w:r>
        <w:rPr>
          <w:rFonts w:ascii="SimSun" w:eastAsia="SimSun" w:hAnsi="SimSun" w:cs="SimSun"/>
          <w:sz w:val="30"/>
          <w:szCs w:val="30"/>
        </w:rPr>
        <w:t>1523</w:t>
      </w:r>
      <w:r>
        <w:rPr>
          <w:rFonts w:ascii="SimSun" w:eastAsia="SimSun" w:hAnsi="SimSun" w:cs="SimSun"/>
          <w:sz w:val="30"/>
          <w:szCs w:val="30"/>
        </w:rPr>
        <w:t>段）辑录，舒尔布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艾尔奈乌特在考证传述系统中认为这是正确的圣训。</w:t>
      </w:r>
    </w:p>
    <w:p w:rsidR="00BF7044" w:rsidRDefault="000A27AE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至于集体祈祷，则在圣训中没有任何证据，所以在所有的礼拜之后长期坚持集体祈祷是异端行为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BF7044" w:rsidRDefault="000A27AE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所以宗教功修必须要在六件事情中符合教法：数量、方法、时间、地点、原因和性质。欲了解详细内容，敬请参阅（</w:t>
      </w:r>
      <w:hyperlink r:id="rId7">
        <w:r>
          <w:rPr>
            <w:rFonts w:ascii="Tahoma" w:eastAsia="Tahoma" w:hAnsi="Tahoma" w:cs="Tahoma"/>
            <w:color w:val="0563C1"/>
            <w:sz w:val="30"/>
            <w:szCs w:val="30"/>
            <w:u w:val="single"/>
          </w:rPr>
          <w:t>21519</w:t>
        </w:r>
      </w:hyperlink>
      <w:r>
        <w:rPr>
          <w:rFonts w:ascii="Arial Unicode MS" w:eastAsia="Arial Unicode MS" w:hAnsi="Arial Unicode MS" w:cs="Arial Unicode MS"/>
          <w:sz w:val="30"/>
          <w:szCs w:val="30"/>
        </w:rPr>
        <w:t>）号问题的回答。</w:t>
      </w:r>
    </w:p>
    <w:p w:rsidR="00BF7044" w:rsidRDefault="000A27AE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lastRenderedPageBreak/>
        <w:t>第三：可以在除聚礼日之外的其它日子里诵读《山洞章》，诵读一个字母可以获得十件善行的报酬，与诵读其它章节的报酬一样，但是不要规定一个专门的日子诵读《山洞章》，就像在聚礼日诵读《山洞章》那样；所以不能认为在这一天诵读《山洞章》会优越于其它的日子、或者在某一日诵读《山洞章》有特殊的优越性，就像在聚礼日诵读《山洞章》有专门的优越性那样，因为这个优越性是专门属于聚礼日的，这是在圣训中叙述的。</w:t>
      </w:r>
    </w:p>
    <w:p w:rsidR="00BF7044" w:rsidRDefault="000A27AE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BF7044" w:rsidRDefault="00BF7044">
      <w:pPr>
        <w:tabs>
          <w:tab w:val="left" w:pos="753"/>
          <w:tab w:val="left" w:pos="3933"/>
          <w:tab w:val="center" w:pos="3968"/>
        </w:tabs>
      </w:pPr>
    </w:p>
    <w:p w:rsidR="00BF7044" w:rsidRDefault="00BF7044">
      <w:pPr>
        <w:tabs>
          <w:tab w:val="left" w:pos="753"/>
          <w:tab w:val="left" w:pos="3933"/>
          <w:tab w:val="center" w:pos="3968"/>
        </w:tabs>
      </w:pPr>
    </w:p>
    <w:p w:rsidR="00BF7044" w:rsidRDefault="00BF7044">
      <w:pPr>
        <w:tabs>
          <w:tab w:val="left" w:pos="753"/>
          <w:tab w:val="left" w:pos="3933"/>
          <w:tab w:val="center" w:pos="3968"/>
        </w:tabs>
      </w:pPr>
    </w:p>
    <w:p w:rsidR="00BF7044" w:rsidRDefault="00BF7044">
      <w:pPr>
        <w:spacing w:after="0" w:line="240" w:lineRule="auto"/>
        <w:ind w:firstLine="340"/>
        <w:jc w:val="both"/>
      </w:pPr>
    </w:p>
    <w:p w:rsidR="00BF7044" w:rsidRDefault="00BF7044">
      <w:pPr>
        <w:jc w:val="center"/>
      </w:pPr>
    </w:p>
    <w:p w:rsidR="00BF7044" w:rsidRDefault="00BF7044">
      <w:pPr>
        <w:jc w:val="center"/>
      </w:pPr>
    </w:p>
    <w:p w:rsidR="00BF7044" w:rsidRDefault="00BF7044">
      <w:pPr>
        <w:jc w:val="center"/>
      </w:pPr>
    </w:p>
    <w:p w:rsidR="00BF7044" w:rsidRDefault="00BF7044">
      <w:pPr>
        <w:jc w:val="center"/>
      </w:pPr>
    </w:p>
    <w:p w:rsidR="00BF7044" w:rsidRDefault="00BF7044">
      <w:pPr>
        <w:jc w:val="center"/>
      </w:pPr>
    </w:p>
    <w:p w:rsidR="00BF7044" w:rsidRDefault="00BF7044">
      <w:pPr>
        <w:jc w:val="center"/>
      </w:pPr>
    </w:p>
    <w:p w:rsidR="00BF7044" w:rsidRDefault="00BF7044">
      <w:pPr>
        <w:jc w:val="center"/>
      </w:pPr>
    </w:p>
    <w:p w:rsidR="00BF7044" w:rsidRDefault="00BF7044">
      <w:pPr>
        <w:jc w:val="center"/>
      </w:pPr>
    </w:p>
    <w:p w:rsidR="00BF7044" w:rsidRDefault="00BF7044">
      <w:pPr>
        <w:jc w:val="center"/>
      </w:pPr>
    </w:p>
    <w:p w:rsidR="00BF7044" w:rsidRDefault="00BF7044" w:rsidP="001F2C5B">
      <w:bookmarkStart w:id="0" w:name="_GoBack"/>
      <w:bookmarkEnd w:id="0"/>
    </w:p>
    <w:sectPr w:rsidR="00BF7044">
      <w:headerReference w:type="default" r:id="rId8"/>
      <w:headerReference w:type="first" r:id="rId9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7AE" w:rsidRDefault="000A27AE">
      <w:pPr>
        <w:spacing w:after="0" w:line="240" w:lineRule="auto"/>
      </w:pPr>
      <w:r>
        <w:separator/>
      </w:r>
    </w:p>
  </w:endnote>
  <w:endnote w:type="continuationSeparator" w:id="0">
    <w:p w:rsidR="000A27AE" w:rsidRDefault="000A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7AE" w:rsidRDefault="000A27AE">
      <w:pPr>
        <w:spacing w:after="0" w:line="240" w:lineRule="auto"/>
      </w:pPr>
      <w:r>
        <w:separator/>
      </w:r>
    </w:p>
  </w:footnote>
  <w:footnote w:type="continuationSeparator" w:id="0">
    <w:p w:rsidR="000A27AE" w:rsidRDefault="000A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44" w:rsidRDefault="00BF7044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44" w:rsidRDefault="000A27AE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F7044" w:rsidRDefault="00BF704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F7044" w:rsidRDefault="000A27AE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7216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BF7044" w:rsidRDefault="00BF704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BF7044" w:rsidRDefault="000A27AE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7044"/>
    <w:rsid w:val="000A27AE"/>
    <w:rsid w:val="001F2C5B"/>
    <w:rsid w:val="00B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8B3B4-3A65-4552-AA7D-508BDD1C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slamqa.info/zh/215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825</Words>
  <Characters>892</Characters>
  <Application>Microsoft Office Word</Application>
  <DocSecurity>0</DocSecurity>
  <Lines>63</Lines>
  <Paragraphs>26</Paragraphs>
  <ScaleCrop>false</ScaleCrop>
  <Manager/>
  <Company>islamhouse.com</Company>
  <LinksUpToDate>false</LinksUpToDate>
  <CharactersWithSpaces>1691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只要违背圣行就是异端行为吗</dc:title>
  <dc:subject>只要违背圣行就是异端行为吗</dc:subject>
  <dc:creator>伊斯兰问答网站</dc:creator>
  <cp:keywords>只要违背圣行就是异端行为吗</cp:keywords>
  <dc:description>只要违背圣行就是异端行为吗</dc:description>
  <cp:lastModifiedBy>elhashemy</cp:lastModifiedBy>
  <cp:revision>2</cp:revision>
  <dcterms:created xsi:type="dcterms:W3CDTF">2015-07-21T09:15:00Z</dcterms:created>
  <dcterms:modified xsi:type="dcterms:W3CDTF">2015-07-21T09:16:00Z</dcterms:modified>
  <cp:category/>
</cp:coreProperties>
</file>