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E209DC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74430" w:rsidRDefault="000A7FE6" w:rsidP="007B587A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0A7FE6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穆斯林妇女在同性恋男子在场的时候必须要遮住脸吗？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0A7FE6" w:rsidRPr="000A7FE6" w:rsidRDefault="000A7FE6" w:rsidP="000A7FE6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0A7FE6">
        <w:rPr>
          <w:rFonts w:ascii="inherit" w:hAnsi="inherit"/>
          <w:color w:val="1F497D" w:themeColor="text2"/>
          <w:sz w:val="48"/>
          <w:szCs w:val="48"/>
          <w:rtl/>
        </w:rPr>
        <w:t>هل على المرأة المسلمة أن تغطي وجهها في حضرة الرجل الشاذ ؟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A7FE6" w:rsidRDefault="00EB6455" w:rsidP="00EE484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A6548C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A6548C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A6548C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548C">
      <w:pPr>
        <w:bidi w:val="0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  <w:bookmarkStart w:id="0" w:name="_GoBack"/>
      <w:bookmarkEnd w:id="0"/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0A7FE6" w:rsidRDefault="00A60587" w:rsidP="000A7FE6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0A7FE6" w:rsidRPr="000A7FE6" w:rsidRDefault="000A7FE6" w:rsidP="000A7FE6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Theme="minorEastAsia" w:eastAsiaTheme="minorEastAsia" w:hAnsiTheme="minorEastAsia" w:cs="Tahoma"/>
          <w:sz w:val="36"/>
          <w:szCs w:val="36"/>
        </w:rPr>
      </w:pPr>
      <w:r w:rsidRPr="000A7FE6">
        <w:rPr>
          <w:rFonts w:asciiTheme="minorEastAsia" w:eastAsiaTheme="minorEastAsia" w:hAnsiTheme="minorEastAsia" w:cs="SimSun" w:hint="eastAsia"/>
          <w:sz w:val="36"/>
          <w:szCs w:val="36"/>
        </w:rPr>
        <w:t>穆斯林妇女在同性恋男子在场的时候必须要遮住脸吗？</w:t>
      </w:r>
    </w:p>
    <w:p w:rsidR="000A7FE6" w:rsidRPr="000A7FE6" w:rsidRDefault="000A7FE6" w:rsidP="000A7FE6">
      <w:pPr>
        <w:shd w:val="clear" w:color="auto" w:fill="FFFFFF"/>
        <w:spacing w:before="327" w:after="327" w:line="327" w:lineRule="atLeast"/>
        <w:rPr>
          <w:rFonts w:asciiTheme="minorEastAsia" w:eastAsiaTheme="minorEastAsia" w:hAnsiTheme="minorEastAsia" w:cs="Tahoma"/>
          <w:color w:val="auto"/>
          <w:sz w:val="36"/>
        </w:rPr>
      </w:pPr>
    </w:p>
    <w:p w:rsidR="000A7FE6" w:rsidRDefault="000A7FE6" w:rsidP="000A7FE6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</w:pPr>
      <w:r>
        <w:rPr>
          <w:rFonts w:asciiTheme="minorEastAsia" w:eastAsiaTheme="minorEastAsia" w:hAnsiTheme="minorEastAsia" w:cs="Tahoma" w:hint="eastAsia"/>
          <w:b/>
          <w:bCs/>
          <w:color w:val="FF0000"/>
          <w:sz w:val="36"/>
          <w:szCs w:val="36"/>
        </w:rPr>
        <w:t>问：</w:t>
      </w:r>
      <w:r w:rsidRPr="000A7FE6"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t>穆斯林妇女在同性恋男子在场的时候必须要遮住</w:t>
      </w:r>
    </w:p>
    <w:p w:rsidR="000A7FE6" w:rsidRPr="000A7FE6" w:rsidRDefault="000A7FE6" w:rsidP="000A7FE6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</w:pPr>
      <w:r w:rsidRPr="000A7FE6"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t>脸吗？</w:t>
      </w:r>
    </w:p>
    <w:p w:rsidR="000A7FE6" w:rsidRPr="000A7FE6" w:rsidRDefault="000A7FE6" w:rsidP="000A7FE6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Tahoma" w:hint="eastAsia"/>
          <w:sz w:val="36"/>
          <w:szCs w:val="36"/>
        </w:rPr>
        <w:t>答：</w:t>
      </w:r>
      <w:r w:rsidRPr="000A7FE6">
        <w:rPr>
          <w:rFonts w:asciiTheme="minorEastAsia" w:eastAsiaTheme="minorEastAsia" w:hAnsiTheme="minorEastAsia" w:cs="Tahoma"/>
          <w:sz w:val="36"/>
          <w:szCs w:val="36"/>
        </w:rPr>
        <w:t>一切赞颂，全归真主。</w:t>
      </w:r>
    </w:p>
    <w:p w:rsidR="000A7FE6" w:rsidRPr="000A7FE6" w:rsidRDefault="000A7FE6" w:rsidP="000A7FE6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0A7FE6">
        <w:rPr>
          <w:rFonts w:asciiTheme="minorEastAsia" w:eastAsiaTheme="minorEastAsia" w:hAnsiTheme="minorEastAsia" w:cs="Tahoma"/>
          <w:sz w:val="36"/>
          <w:szCs w:val="36"/>
        </w:rPr>
        <w:t>第一：同性恋是非常严重的丑恶行径，具有健全的天性和健康的心灵的人都对这种丑恶行径嗤之以鼻、深恶痛绝，具有健全天性的一部分人说：“倘若不是真主在《古兰经》中给我们讲述了鲁特圣人的族人有同性恋的行为，我们认为男子绝对不会和男子发生变态的性行为。”所以应该对发生同性恋的主动者和被动者处以死刑。我们在（</w:t>
      </w:r>
      <w:hyperlink r:id="rId10" w:history="1">
        <w:r w:rsidRPr="000A7FE6">
          <w:rPr>
            <w:rStyle w:val="Hyperlink"/>
            <w:rFonts w:asciiTheme="minorEastAsia" w:eastAsiaTheme="minorEastAsia" w:hAnsiTheme="minorEastAsia" w:cs="Tahoma"/>
            <w:color w:val="auto"/>
            <w:sz w:val="36"/>
            <w:szCs w:val="36"/>
          </w:rPr>
          <w:t>27176</w:t>
        </w:r>
      </w:hyperlink>
      <w:r w:rsidRPr="000A7FE6">
        <w:rPr>
          <w:rFonts w:asciiTheme="minorEastAsia" w:eastAsiaTheme="minorEastAsia" w:hAnsiTheme="minorEastAsia" w:cs="Tahoma"/>
          <w:sz w:val="36"/>
          <w:szCs w:val="36"/>
        </w:rPr>
        <w:t>）号问题的回答中已经阐明这一点。</w:t>
      </w:r>
    </w:p>
    <w:p w:rsidR="000A7FE6" w:rsidRPr="000A7FE6" w:rsidRDefault="000A7FE6" w:rsidP="000A7FE6">
      <w:pPr>
        <w:pStyle w:val="NormalWeb"/>
        <w:shd w:val="clear" w:color="auto" w:fill="FFFFFF"/>
        <w:spacing w:before="0" w:beforeAutospacing="0" w:after="164" w:afterAutospacing="0" w:line="480" w:lineRule="auto"/>
        <w:ind w:firstLineChars="250" w:firstLine="900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0A7FE6">
        <w:rPr>
          <w:rFonts w:asciiTheme="minorEastAsia" w:eastAsiaTheme="minorEastAsia" w:hAnsiTheme="minorEastAsia" w:cs="Tahoma"/>
          <w:sz w:val="36"/>
          <w:szCs w:val="36"/>
        </w:rPr>
        <w:lastRenderedPageBreak/>
        <w:t>第二：任何人都不能诬陷他人有同性恋的变态性行为，除非有教法规定的明确的证据，比如本人承认、或者有四个公正的目击证人；如果有人超越法度，诬陷他人有同性恋的变态性行为，但是他没有明确的证据，那么他就犯了诬陷罪，应该受到惩罚，教法规定必须要对这种人鞭打八十皮鞭，真主说：“凡告发贞节的妇女，而不能举出四个男子为见证者，你们应当把每个人打八十鞭，并且永远不可接受他们的见证。这等人是罪人。”（24:4）</w:t>
      </w:r>
    </w:p>
    <w:p w:rsidR="000A7FE6" w:rsidRPr="000A7FE6" w:rsidRDefault="000A7FE6" w:rsidP="000A7FE6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0A7FE6">
        <w:rPr>
          <w:rFonts w:asciiTheme="minorEastAsia" w:eastAsiaTheme="minorEastAsia" w:hAnsiTheme="minorEastAsia" w:cs="Tahoma"/>
          <w:sz w:val="36"/>
          <w:szCs w:val="36"/>
        </w:rPr>
        <w:t>第三：穆斯林妇女在外男子的面前必须要遮盖自己的身体、脸和双手，如果知道某人是淫荡的下流之徒，那么更应该在他的面前遮盖自己身体。</w:t>
      </w:r>
    </w:p>
    <w:p w:rsidR="000A7FE6" w:rsidRPr="000A7FE6" w:rsidRDefault="000A7FE6" w:rsidP="000A7FE6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0A7FE6">
        <w:rPr>
          <w:rFonts w:asciiTheme="minorEastAsia" w:eastAsiaTheme="minorEastAsia" w:hAnsiTheme="minorEastAsia" w:cs="Tahoma"/>
          <w:sz w:val="36"/>
          <w:szCs w:val="36"/>
        </w:rPr>
        <w:t>穆斯林妇女应该谨慎小心，严防淫荡的下流之徒 ，避免与他们见面，也不要和那种人谈话。欲了解更多</w:t>
      </w:r>
      <w:r w:rsidRPr="000A7FE6">
        <w:rPr>
          <w:rFonts w:asciiTheme="minorEastAsia" w:eastAsiaTheme="minorEastAsia" w:hAnsiTheme="minorEastAsia" w:cs="Tahoma"/>
          <w:sz w:val="36"/>
          <w:szCs w:val="36"/>
        </w:rPr>
        <w:lastRenderedPageBreak/>
        <w:t>内容，敬请参阅（</w:t>
      </w:r>
      <w:hyperlink r:id="rId11" w:history="1">
        <w:r w:rsidRPr="000A7FE6">
          <w:rPr>
            <w:rStyle w:val="Hyperlink"/>
            <w:rFonts w:asciiTheme="minorEastAsia" w:eastAsiaTheme="minorEastAsia" w:hAnsiTheme="minorEastAsia" w:cs="Tahoma"/>
            <w:color w:val="auto"/>
            <w:sz w:val="36"/>
            <w:szCs w:val="36"/>
          </w:rPr>
          <w:t>11774</w:t>
        </w:r>
      </w:hyperlink>
      <w:r w:rsidRPr="000A7FE6">
        <w:rPr>
          <w:rFonts w:asciiTheme="minorEastAsia" w:eastAsiaTheme="minorEastAsia" w:hAnsiTheme="minorEastAsia" w:cs="Tahoma"/>
          <w:sz w:val="36"/>
          <w:szCs w:val="36"/>
        </w:rPr>
        <w:t>）、（</w:t>
      </w:r>
      <w:hyperlink r:id="rId12" w:history="1">
        <w:r w:rsidRPr="000A7FE6">
          <w:rPr>
            <w:rStyle w:val="Hyperlink"/>
            <w:rFonts w:asciiTheme="minorEastAsia" w:eastAsiaTheme="minorEastAsia" w:hAnsiTheme="minorEastAsia" w:cs="Tahoma"/>
            <w:color w:val="auto"/>
            <w:sz w:val="36"/>
            <w:szCs w:val="36"/>
          </w:rPr>
          <w:t>21536</w:t>
        </w:r>
      </w:hyperlink>
      <w:r w:rsidRPr="000A7FE6">
        <w:rPr>
          <w:rFonts w:asciiTheme="minorEastAsia" w:eastAsiaTheme="minorEastAsia" w:hAnsiTheme="minorEastAsia" w:cs="Tahoma"/>
          <w:sz w:val="36"/>
          <w:szCs w:val="36"/>
        </w:rPr>
        <w:t>）和（</w:t>
      </w:r>
      <w:hyperlink r:id="rId13" w:history="1">
        <w:r w:rsidRPr="000A7FE6">
          <w:rPr>
            <w:rStyle w:val="Hyperlink"/>
            <w:rFonts w:asciiTheme="minorEastAsia" w:eastAsiaTheme="minorEastAsia" w:hAnsiTheme="minorEastAsia" w:cs="Tahoma"/>
            <w:color w:val="auto"/>
            <w:sz w:val="36"/>
            <w:szCs w:val="36"/>
          </w:rPr>
          <w:t>6991</w:t>
        </w:r>
      </w:hyperlink>
      <w:r w:rsidRPr="000A7FE6">
        <w:rPr>
          <w:rFonts w:asciiTheme="minorEastAsia" w:eastAsiaTheme="minorEastAsia" w:hAnsiTheme="minorEastAsia" w:cs="Tahoma"/>
          <w:sz w:val="36"/>
          <w:szCs w:val="36"/>
        </w:rPr>
        <w:t>）号问题的回答。</w:t>
      </w:r>
    </w:p>
    <w:p w:rsidR="00A60587" w:rsidRPr="000A7FE6" w:rsidRDefault="000A7FE6" w:rsidP="000A7FE6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0A7FE6">
        <w:rPr>
          <w:rFonts w:asciiTheme="minorEastAsia" w:eastAsiaTheme="minorEastAsia" w:hAnsiTheme="minorEastAsia" w:cs="Tahoma"/>
          <w:sz w:val="36"/>
          <w:szCs w:val="36"/>
        </w:rPr>
        <w:t>真主至知！</w:t>
      </w:r>
    </w:p>
    <w:sectPr w:rsidR="00A60587" w:rsidRPr="000A7FE6" w:rsidSect="00156EB3">
      <w:footerReference w:type="even" r:id="rId14"/>
      <w:footerReference w:type="default" r:id="rId15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9DC" w:rsidRDefault="00E209DC" w:rsidP="00EB6455">
      <w:r>
        <w:separator/>
      </w:r>
    </w:p>
  </w:endnote>
  <w:endnote w:type="continuationSeparator" w:id="0">
    <w:p w:rsidR="00E209DC" w:rsidRDefault="00E209DC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347F01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E209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347F01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A6548C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E209DC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9DC" w:rsidRDefault="00E209DC" w:rsidP="00EB6455">
      <w:r>
        <w:separator/>
      </w:r>
    </w:p>
  </w:footnote>
  <w:footnote w:type="continuationSeparator" w:id="0">
    <w:p w:rsidR="00E209DC" w:rsidRDefault="00E209DC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0A7FE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47F01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A6548C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209DC"/>
    <w:rsid w:val="00EB6455"/>
    <w:rsid w:val="00EE484A"/>
    <w:rsid w:val="00F8428D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B8545C-4E8D-4DDF-8558-D3DB41E3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7FE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0A7FE6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0A7FE6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hyperlink" Target="http://islamqa.info/zh/699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islamqa.info/zh/2153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hyperlink" Target="http://islamqa.info/zh/11774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islamqa.info/zh/27176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485</Words>
  <Characters>603</Characters>
  <Application>Microsoft Office Word</Application>
  <DocSecurity>0</DocSecurity>
  <Lines>46</Lines>
  <Paragraphs>27</Paragraphs>
  <ScaleCrop>false</ScaleCrop>
  <Manager/>
  <Company>islamhouse.com</Company>
  <LinksUpToDate>false</LinksUpToDate>
  <CharactersWithSpaces>1061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穆斯林妇女在同性恋男子在场的时候必须要遮住脸吗</dc:title>
  <dc:subject>穆斯林妇女在同性恋男子在场的时候必须要遮住脸吗</dc:subject>
  <dc:creator>伊斯兰问答网站_x000d_</dc:creator>
  <cp:keywords>穆斯林妇女在同性恋男子在场的时候必须要遮住脸吗</cp:keywords>
  <dc:description>穆斯林妇女在同性恋男子在场的时候必须要遮住脸吗</dc:description>
  <cp:lastModifiedBy>elhashemy</cp:lastModifiedBy>
  <cp:revision>3</cp:revision>
  <dcterms:created xsi:type="dcterms:W3CDTF">2015-03-27T13:41:00Z</dcterms:created>
  <dcterms:modified xsi:type="dcterms:W3CDTF">2015-04-20T14:43:00Z</dcterms:modified>
  <cp:category/>
</cp:coreProperties>
</file>