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1C0BE9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C61D0D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C61D0D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在老年妇女的家中帮助她。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C61D0D" w:rsidRPr="00C61D0D" w:rsidRDefault="00C61D0D" w:rsidP="00C61D0D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C61D0D">
        <w:rPr>
          <w:rFonts w:ascii="inherit" w:hAnsi="inherit"/>
          <w:color w:val="1F497D" w:themeColor="text2"/>
          <w:sz w:val="48"/>
          <w:szCs w:val="48"/>
          <w:rtl/>
        </w:rPr>
        <w:t>مساعدة المرأة الكبيرة في بيتها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DE0D23" w:rsidRDefault="00DE0D23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32"/>
          <w:szCs w:val="32"/>
          <w:rtl/>
          <w:lang w:bidi="ar-EG"/>
        </w:rPr>
      </w:pPr>
    </w:p>
    <w:p w:rsidR="00EB6455" w:rsidRPr="00962983" w:rsidRDefault="00EB6455" w:rsidP="00DE0D23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DE0D23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DE0D23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DE0D23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C61D0D" w:rsidRPr="00C61D0D" w:rsidRDefault="00C61D0D" w:rsidP="00C61D0D">
      <w:pPr>
        <w:shd w:val="clear" w:color="auto" w:fill="FFFFFF"/>
        <w:bidi w:val="0"/>
        <w:spacing w:after="82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C61D0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在老年妇女的家中帮助她。</w:t>
      </w:r>
    </w:p>
    <w:p w:rsidR="00C61D0D" w:rsidRPr="00C61D0D" w:rsidRDefault="00C61D0D" w:rsidP="00C61D0D">
      <w:pPr>
        <w:shd w:val="clear" w:color="auto" w:fill="FFFFFF"/>
        <w:bidi w:val="0"/>
        <w:spacing w:before="327" w:after="327" w:line="327" w:lineRule="atLeast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C61D0D" w:rsidRDefault="00C61D0D" w:rsidP="00C61D0D">
      <w:pPr>
        <w:shd w:val="clear" w:color="auto" w:fill="FFFFFF"/>
        <w:bidi w:val="0"/>
        <w:spacing w:line="480" w:lineRule="auto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问：</w:t>
      </w:r>
      <w:r w:rsidRPr="00C61D0D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当一位老年妇女归信伊斯兰后，是否允许穆斯林</w:t>
      </w:r>
    </w:p>
    <w:p w:rsidR="00C61D0D" w:rsidRDefault="00C61D0D" w:rsidP="00C61D0D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C61D0D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青年男子到她的家中帮助她做打扫卫生、做饭等</w:t>
      </w:r>
    </w:p>
    <w:p w:rsidR="00C61D0D" w:rsidRDefault="00C61D0D" w:rsidP="00C61D0D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C61D0D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家务？是否允许到她的家中教授给她伊斯兰宗教</w:t>
      </w:r>
    </w:p>
    <w:p w:rsidR="00C61D0D" w:rsidRPr="00C61D0D" w:rsidRDefault="00C61D0D" w:rsidP="00C61D0D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C61D0D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知识？</w:t>
      </w:r>
    </w:p>
    <w:p w:rsidR="00C61D0D" w:rsidRPr="00C61D0D" w:rsidRDefault="00C61D0D" w:rsidP="00C61D0D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>答：</w:t>
      </w:r>
      <w:r w:rsidRPr="00C61D0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一切赞颂全归安拉。</w:t>
      </w:r>
    </w:p>
    <w:p w:rsidR="00C61D0D" w:rsidRPr="00C61D0D" w:rsidRDefault="00C61D0D" w:rsidP="00C61D0D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C61D0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首先：我们应当明确，教法禁止与无干系的妇女独处，证据如下：</w:t>
      </w:r>
    </w:p>
    <w:p w:rsidR="00C61D0D" w:rsidRPr="00C61D0D" w:rsidRDefault="00C61D0D" w:rsidP="00C61D0D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C61D0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由阿盖柏·本·阿米尔（愿安拉喜悦他）传述，安拉的使者（安拉的称赞、祝福与平安属于他）说：“你们要提防，莫与无干系的妇女独处。”一位辅士</w:t>
      </w:r>
      <w:r w:rsidRPr="00C61D0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男子问：那作为丈夫的亲属呢？圣人答道：“他们最危险。”</w:t>
      </w:r>
    </w:p>
    <w:p w:rsidR="00C61D0D" w:rsidRPr="00C61D0D" w:rsidRDefault="00C61D0D" w:rsidP="00C61D0D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C61D0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布哈里圣训（4934） 穆斯林圣训（2172）</w:t>
      </w:r>
    </w:p>
    <w:p w:rsidR="00C61D0D" w:rsidRPr="00C61D0D" w:rsidRDefault="00C61D0D" w:rsidP="00C61D0D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C61D0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这里“丈夫的亲属”是指：丈夫的亲属当中那些依教法规定，属于与妻子无干系的男子。</w:t>
      </w:r>
    </w:p>
    <w:p w:rsidR="00C61D0D" w:rsidRPr="00C61D0D" w:rsidRDefault="00C61D0D" w:rsidP="00C61D0D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C61D0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由伊本阿巴斯（愿安拉喜悦他）传述，他听到圣人（安拉的称赞、祝福与平安属于他）说：“不允许男子与无干系的妇女独处，也不允许妇女单独旅行，除非有她的至亲陪伴。”</w:t>
      </w:r>
    </w:p>
    <w:p w:rsidR="00C61D0D" w:rsidRPr="00C61D0D" w:rsidRDefault="00C61D0D" w:rsidP="00C61D0D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C61D0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布哈里圣训（2844）穆斯林圣训（1341）</w:t>
      </w:r>
    </w:p>
    <w:p w:rsidR="00C61D0D" w:rsidRPr="00C61D0D" w:rsidRDefault="00C61D0D" w:rsidP="00C61D0D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C61D0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第二：常言说：情人眼里出西施。对于妇女来说，纵使她已过了花容月貌的年龄，但可能恶魔会使她在男子眼中变得美丽诱人，逐步地诱使他做奸犯罪，这方面的事例很多。</w:t>
      </w:r>
    </w:p>
    <w:p w:rsidR="00C61D0D" w:rsidRPr="00C61D0D" w:rsidRDefault="00C61D0D" w:rsidP="00C61D0D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C61D0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第三：最好的办法是，这名男子委托她的妻子或姐妹或女儿，或委托其它的穆斯林姐妹来完成此项善举。这比起一名男子为她提供帮助要强很多，妇女之间的关系比同男子更加亲密，工作的效果更好，特别是当涉及到一些有关妇女问题方面的教法规定时。至于在不能得到穆斯林妇女为她提供帮助的情况下，允许你来帮助她，但不要与她独处，你可与其它的穆斯林兄弟一同前往，另外注意遵守一些相关的教法规定，如妇女应戴头巾面纱等，停留不要超过必要的的时间。</w:t>
      </w:r>
    </w:p>
    <w:p w:rsidR="00C61D0D" w:rsidRPr="00C61D0D" w:rsidRDefault="00C61D0D" w:rsidP="00C61D0D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C61D0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第四：祈求安拉回赐你们的这一项善举，祈求安拉赐予我们和你们以及全体穆斯林成功。</w:t>
      </w:r>
    </w:p>
    <w:p w:rsidR="00A60587" w:rsidRPr="00C61D0D" w:rsidRDefault="00C61D0D" w:rsidP="00C61D0D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C61D0D">
        <w:rPr>
          <w:rFonts w:asciiTheme="minorEastAsia" w:eastAsiaTheme="minorEastAsia" w:hAnsiTheme="minorEastAsia" w:cs="Tahoma"/>
          <w:color w:val="000000" w:themeColor="text1"/>
          <w:sz w:val="36"/>
        </w:rPr>
        <w:t>安拉至知。</w:t>
      </w:r>
    </w:p>
    <w:sectPr w:rsidR="00A60587" w:rsidRPr="00C61D0D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BE9" w:rsidRDefault="001C0BE9" w:rsidP="00EB6455">
      <w:r>
        <w:separator/>
      </w:r>
    </w:p>
  </w:endnote>
  <w:endnote w:type="continuationSeparator" w:id="0">
    <w:p w:rsidR="001C0BE9" w:rsidRDefault="001C0BE9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DA075E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1C0B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DA075E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DE0D23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1C0BE9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BE9" w:rsidRDefault="001C0BE9" w:rsidP="00EB6455">
      <w:r>
        <w:separator/>
      </w:r>
    </w:p>
  </w:footnote>
  <w:footnote w:type="continuationSeparator" w:id="0">
    <w:p w:rsidR="001C0BE9" w:rsidRDefault="001C0BE9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262C9"/>
    <w:rsid w:val="00157B23"/>
    <w:rsid w:val="001743FA"/>
    <w:rsid w:val="0019347C"/>
    <w:rsid w:val="001B6333"/>
    <w:rsid w:val="001C0BE9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61D0D"/>
    <w:rsid w:val="00CC3482"/>
    <w:rsid w:val="00CD6F06"/>
    <w:rsid w:val="00CD733C"/>
    <w:rsid w:val="00D04B88"/>
    <w:rsid w:val="00D15E7D"/>
    <w:rsid w:val="00D36432"/>
    <w:rsid w:val="00D860D2"/>
    <w:rsid w:val="00DA075E"/>
    <w:rsid w:val="00DB44B1"/>
    <w:rsid w:val="00DC4991"/>
    <w:rsid w:val="00DC54D7"/>
    <w:rsid w:val="00DE0D23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A8AEDC0-B6DE-49AC-BCAA-9202C10F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460</Words>
  <Characters>543</Characters>
  <Application>Microsoft Office Word</Application>
  <DocSecurity>0</DocSecurity>
  <Lines>41</Lines>
  <Paragraphs>29</Paragraphs>
  <ScaleCrop>false</ScaleCrop>
  <Manager/>
  <Company>islamhouse.com</Company>
  <LinksUpToDate>false</LinksUpToDate>
  <CharactersWithSpaces>974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在老年妇女的家中帮助她。_x000d_</dc:title>
  <dc:subject>在老年妇女的家中帮助她。_x000d_</dc:subject>
  <dc:creator>伊斯兰问答网站_x000d_</dc:creator>
  <cp:keywords>在老年妇女的家中帮助她。_x000d_</cp:keywords>
  <dc:description>在老年妇女的家中帮助她。_x000d_</dc:description>
  <cp:lastModifiedBy>elhashemy</cp:lastModifiedBy>
  <cp:revision>3</cp:revision>
  <dcterms:created xsi:type="dcterms:W3CDTF">2015-03-13T07:55:00Z</dcterms:created>
  <dcterms:modified xsi:type="dcterms:W3CDTF">2015-03-30T11:02:00Z</dcterms:modified>
  <cp:category/>
</cp:coreProperties>
</file>