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B0" w:rsidRPr="00035EBD" w:rsidRDefault="00E300B0" w:rsidP="00E300B0">
      <w:pPr>
        <w:bidi w:val="0"/>
        <w:rPr>
          <w:rFonts w:ascii="Arial" w:hAnsi="Arial" w:cs="Arial"/>
          <w:b/>
          <w:bCs/>
          <w:sz w:val="48"/>
          <w:szCs w:val="48"/>
          <w:lang w:eastAsia="zh-CN"/>
        </w:rPr>
      </w:pPr>
    </w:p>
    <w:p w:rsidR="00E300B0" w:rsidRPr="00396137" w:rsidRDefault="00B23B16" w:rsidP="00E300B0">
      <w:pPr>
        <w:bidi w:val="0"/>
        <w:spacing w:before="100" w:beforeAutospacing="1" w:after="100" w:afterAutospacing="1" w:line="276" w:lineRule="atLeast"/>
        <w:jc w:val="center"/>
        <w:outlineLvl w:val="1"/>
        <w:rPr>
          <w:rFonts w:ascii="STLiti" w:eastAsia="STLiti" w:hAnsi="Helvetica" w:cs="SimSun"/>
          <w:b/>
          <w:bCs/>
          <w:color w:val="800000"/>
          <w:sz w:val="84"/>
          <w:szCs w:val="84"/>
          <w:lang w:eastAsia="zh-CN"/>
        </w:rPr>
      </w:pPr>
      <w:r w:rsidRPr="00396137">
        <w:rPr>
          <w:rFonts w:ascii="STLiti" w:eastAsia="STLiti" w:hAnsi="Helvetica" w:cs="SimSun" w:hint="eastAsia"/>
          <w:b/>
          <w:bCs/>
          <w:color w:val="800000"/>
          <w:sz w:val="84"/>
          <w:szCs w:val="84"/>
          <w:lang w:eastAsia="zh-CN"/>
        </w:rPr>
        <w:t>人人易得其天分</w:t>
      </w:r>
    </w:p>
    <w:p w:rsidR="00E300B0" w:rsidRDefault="00E300B0" w:rsidP="00E300B0">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E300B0" w:rsidRDefault="00E300B0" w:rsidP="00E300B0">
      <w:pPr>
        <w:bidi w:val="0"/>
        <w:spacing w:beforeLines="50"/>
        <w:jc w:val="center"/>
        <w:rPr>
          <w:rFonts w:ascii="Courier New" w:hAnsi="Courier New" w:cs="Courier New"/>
          <w:b/>
          <w:bCs/>
          <w:sz w:val="32"/>
          <w:szCs w:val="32"/>
          <w:lang w:eastAsia="zh-CN"/>
        </w:rPr>
      </w:pPr>
    </w:p>
    <w:p w:rsidR="00E300B0" w:rsidRPr="00396137" w:rsidRDefault="00675037" w:rsidP="00E300B0">
      <w:pPr>
        <w:bidi w:val="0"/>
        <w:spacing w:beforeLines="50"/>
        <w:jc w:val="center"/>
        <w:rPr>
          <w:rFonts w:ascii="Courier New" w:eastAsiaTheme="minorEastAsia" w:hAnsi="Courier New" w:cs="KFGQPC Uthman Taha Naskh"/>
          <w:b/>
          <w:bCs/>
          <w:color w:val="auto"/>
          <w:sz w:val="52"/>
          <w:szCs w:val="52"/>
          <w:rtl/>
          <w:lang w:eastAsia="zh-CN"/>
        </w:rPr>
      </w:pPr>
      <w:r w:rsidRPr="00396137">
        <w:rPr>
          <w:rFonts w:ascii="Courier New" w:eastAsiaTheme="minorEastAsia" w:hAnsi="Courier New" w:cs="KFGQPC Uthman Taha Naskh" w:hint="cs"/>
          <w:b/>
          <w:bCs/>
          <w:color w:val="auto"/>
          <w:sz w:val="52"/>
          <w:szCs w:val="52"/>
          <w:rtl/>
          <w:lang w:eastAsia="zh-CN"/>
        </w:rPr>
        <w:t xml:space="preserve">كل ميسر لما خلق له </w:t>
      </w:r>
    </w:p>
    <w:p w:rsidR="00B23B16" w:rsidRDefault="00B23B16" w:rsidP="00B23B16">
      <w:pPr>
        <w:bidi w:val="0"/>
        <w:spacing w:beforeLines="50"/>
        <w:jc w:val="center"/>
        <w:rPr>
          <w:rFonts w:ascii="Courier New" w:eastAsiaTheme="minorEastAsia" w:hAnsi="Courier New" w:cs="Courier New"/>
          <w:b/>
          <w:bCs/>
          <w:szCs w:val="24"/>
          <w:lang w:eastAsia="zh-CN"/>
        </w:rPr>
      </w:pPr>
    </w:p>
    <w:p w:rsidR="00E300B0" w:rsidRPr="00396137" w:rsidRDefault="00E300B0" w:rsidP="00396137">
      <w:pPr>
        <w:spacing w:after="65"/>
        <w:jc w:val="center"/>
        <w:outlineLvl w:val="3"/>
        <w:rPr>
          <w:rFonts w:ascii="Courier New" w:hAnsi="Courier New" w:cs="KFGQPC Uthman Taha Naskh"/>
          <w:b/>
          <w:bCs/>
          <w:sz w:val="36"/>
        </w:rPr>
      </w:pPr>
      <w:r w:rsidRPr="00396137">
        <w:rPr>
          <w:rFonts w:ascii="mylotus" w:hAnsi="mylotus" w:cs="KFGQPC Uthman Taha Naskh"/>
          <w:b/>
          <w:bCs/>
          <w:sz w:val="36"/>
          <w:rtl/>
          <w:lang w:bidi="ar-EG"/>
        </w:rPr>
        <w:t xml:space="preserve"> [</w:t>
      </w:r>
      <w:r w:rsidR="00396137" w:rsidRPr="00396137">
        <w:rPr>
          <w:rFonts w:ascii="mylotus" w:hAnsi="mylotus" w:cs="KFGQPC Uthman Taha Naskh" w:hint="cs"/>
          <w:b/>
          <w:bCs/>
          <w:sz w:val="36"/>
          <w:rtl/>
          <w:lang w:bidi="ar-EG"/>
        </w:rPr>
        <w:t>باللغة</w:t>
      </w:r>
      <w:r w:rsidRPr="00396137">
        <w:rPr>
          <w:rFonts w:ascii="mylotus" w:hAnsi="mylotus" w:cs="KFGQPC Uthman Taha Naskh"/>
          <w:b/>
          <w:bCs/>
          <w:sz w:val="36"/>
          <w:rtl/>
          <w:lang w:bidi="ar-EG"/>
        </w:rPr>
        <w:t xml:space="preserve"> ا</w:t>
      </w:r>
      <w:r w:rsidRPr="00396137">
        <w:rPr>
          <w:rFonts w:ascii="mylotus" w:hAnsi="mylotus" w:cs="KFGQPC Uthman Taha Naskh" w:hint="cs"/>
          <w:b/>
          <w:bCs/>
          <w:sz w:val="36"/>
          <w:rtl/>
          <w:lang w:bidi="ar-EG"/>
        </w:rPr>
        <w:t>لصينية</w:t>
      </w:r>
      <w:r w:rsidRPr="00396137">
        <w:rPr>
          <w:rFonts w:ascii="mylotus" w:hAnsi="mylotus" w:cs="KFGQPC Uthman Taha Naskh"/>
          <w:b/>
          <w:bCs/>
          <w:sz w:val="36"/>
          <w:rtl/>
          <w:lang w:bidi="ar-EG"/>
        </w:rPr>
        <w:t xml:space="preserve"> ]</w:t>
      </w:r>
    </w:p>
    <w:p w:rsidR="00E300B0" w:rsidRDefault="00E300B0" w:rsidP="00E300B0">
      <w:pPr>
        <w:bidi w:val="0"/>
        <w:spacing w:before="150" w:after="150" w:line="284" w:lineRule="atLeast"/>
        <w:jc w:val="center"/>
        <w:rPr>
          <w:rFonts w:ascii="Arial" w:eastAsiaTheme="minorEastAsia" w:hAnsi="Arial" w:cs="Arial"/>
          <w:b/>
          <w:bCs/>
          <w:sz w:val="28"/>
          <w:szCs w:val="28"/>
          <w:lang w:eastAsia="zh-CN"/>
        </w:rPr>
      </w:pPr>
    </w:p>
    <w:p w:rsidR="00B23B16" w:rsidRDefault="00B23B16" w:rsidP="00B23B16">
      <w:pPr>
        <w:bidi w:val="0"/>
        <w:spacing w:before="150" w:after="150" w:line="284" w:lineRule="atLeast"/>
        <w:jc w:val="center"/>
        <w:rPr>
          <w:rFonts w:ascii="Arial" w:eastAsiaTheme="minorEastAsia" w:hAnsi="Arial" w:cs="Arial"/>
          <w:b/>
          <w:bCs/>
          <w:sz w:val="28"/>
          <w:szCs w:val="28"/>
          <w:lang w:eastAsia="zh-CN"/>
        </w:rPr>
      </w:pPr>
    </w:p>
    <w:p w:rsidR="00E300B0" w:rsidRDefault="00A77DDF" w:rsidP="00A77DDF">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A77DDF" w:rsidRDefault="00A77DDF" w:rsidP="00A77DDF">
      <w:pPr>
        <w:bidi w:val="0"/>
        <w:spacing w:before="150" w:after="150" w:line="284" w:lineRule="atLeast"/>
        <w:jc w:val="center"/>
        <w:rPr>
          <w:rFonts w:ascii="Arial" w:eastAsiaTheme="minorEastAsia" w:hAnsi="Arial" w:cs="Arial"/>
          <w:b/>
          <w:bCs/>
          <w:sz w:val="28"/>
          <w:szCs w:val="28"/>
          <w:rtl/>
          <w:lang w:eastAsia="zh-CN"/>
        </w:rPr>
      </w:pPr>
      <w:r>
        <w:rPr>
          <w:rFonts w:ascii="Arial" w:eastAsiaTheme="minorEastAsia" w:hAnsi="Arial" w:cs="Arial" w:hint="cs"/>
          <w:b/>
          <w:bCs/>
          <w:sz w:val="28"/>
          <w:szCs w:val="28"/>
          <w:rtl/>
          <w:lang w:eastAsia="zh-CN"/>
        </w:rPr>
        <w:t>المصادر : موقع نور الإسلام</w:t>
      </w:r>
    </w:p>
    <w:p w:rsidR="00E300B0" w:rsidRDefault="00E300B0" w:rsidP="00E300B0">
      <w:pPr>
        <w:bidi w:val="0"/>
        <w:spacing w:line="240" w:lineRule="exact"/>
        <w:jc w:val="center"/>
        <w:rPr>
          <w:rFonts w:ascii="mylotus" w:hAnsi="mylotus" w:cs="mylotus"/>
          <w:b/>
          <w:bCs/>
          <w:sz w:val="28"/>
          <w:szCs w:val="28"/>
          <w:rtl/>
        </w:rPr>
      </w:pPr>
    </w:p>
    <w:p w:rsidR="00E300B0" w:rsidRDefault="00E300B0" w:rsidP="00E300B0">
      <w:pPr>
        <w:bidi w:val="0"/>
        <w:spacing w:line="240" w:lineRule="exact"/>
        <w:jc w:val="center"/>
        <w:rPr>
          <w:rFonts w:ascii="mylotus" w:hAnsi="mylotus" w:cs="mylotus"/>
          <w:b/>
          <w:bCs/>
          <w:sz w:val="28"/>
          <w:szCs w:val="28"/>
          <w:rtl/>
        </w:rPr>
      </w:pPr>
    </w:p>
    <w:p w:rsidR="00E300B0" w:rsidRDefault="00E300B0" w:rsidP="00E300B0">
      <w:pPr>
        <w:bidi w:val="0"/>
        <w:spacing w:line="240" w:lineRule="exact"/>
        <w:jc w:val="center"/>
        <w:rPr>
          <w:rFonts w:ascii="mylotus" w:hAnsi="mylotus" w:cs="mylotus"/>
          <w:b/>
          <w:bCs/>
          <w:sz w:val="28"/>
          <w:szCs w:val="28"/>
          <w:rtl/>
        </w:rPr>
      </w:pPr>
    </w:p>
    <w:p w:rsidR="00E300B0" w:rsidRDefault="00E300B0" w:rsidP="00E300B0">
      <w:pPr>
        <w:bidi w:val="0"/>
        <w:spacing w:line="240" w:lineRule="exact"/>
        <w:jc w:val="center"/>
        <w:rPr>
          <w:rFonts w:ascii="mylotus" w:hAnsi="mylotus" w:cs="mylotus"/>
          <w:b/>
          <w:bCs/>
          <w:sz w:val="28"/>
          <w:szCs w:val="28"/>
        </w:rPr>
      </w:pPr>
    </w:p>
    <w:p w:rsidR="00E300B0" w:rsidRDefault="00E300B0" w:rsidP="00E300B0">
      <w:pPr>
        <w:bidi w:val="0"/>
        <w:spacing w:line="240" w:lineRule="exact"/>
        <w:rPr>
          <w:rFonts w:ascii="mylotus" w:eastAsiaTheme="minorEastAsia" w:hAnsi="mylotus" w:cs="mylotus"/>
          <w:b/>
          <w:bCs/>
          <w:sz w:val="28"/>
          <w:szCs w:val="28"/>
          <w:lang w:eastAsia="zh-CN"/>
        </w:rPr>
      </w:pPr>
    </w:p>
    <w:p w:rsidR="00E300B0" w:rsidRDefault="00E300B0" w:rsidP="00E300B0">
      <w:pPr>
        <w:bidi w:val="0"/>
        <w:spacing w:line="240" w:lineRule="exact"/>
        <w:rPr>
          <w:rFonts w:ascii="mylotus" w:eastAsiaTheme="minorEastAsia" w:hAnsi="mylotus" w:cs="mylotus"/>
          <w:b/>
          <w:bCs/>
          <w:sz w:val="28"/>
          <w:szCs w:val="28"/>
          <w:lang w:eastAsia="zh-CN"/>
        </w:rPr>
      </w:pPr>
    </w:p>
    <w:p w:rsidR="00E300B0" w:rsidRDefault="00E300B0" w:rsidP="00E300B0">
      <w:pPr>
        <w:bidi w:val="0"/>
        <w:spacing w:line="240" w:lineRule="exact"/>
        <w:rPr>
          <w:rFonts w:ascii="mylotus" w:eastAsiaTheme="minorEastAsia" w:hAnsi="mylotus" w:cs="mylotus"/>
          <w:b/>
          <w:bCs/>
          <w:sz w:val="28"/>
          <w:szCs w:val="28"/>
          <w:lang w:eastAsia="zh-CN"/>
        </w:rPr>
      </w:pPr>
    </w:p>
    <w:p w:rsidR="00E300B0" w:rsidRDefault="00E300B0" w:rsidP="00E300B0">
      <w:pPr>
        <w:bidi w:val="0"/>
        <w:spacing w:line="240" w:lineRule="exact"/>
        <w:rPr>
          <w:rFonts w:ascii="mylotus" w:eastAsiaTheme="minorEastAsia" w:hAnsi="mylotus" w:cs="mylotus"/>
          <w:b/>
          <w:bCs/>
          <w:sz w:val="28"/>
          <w:szCs w:val="28"/>
          <w:lang w:eastAsia="zh-CN"/>
        </w:rPr>
      </w:pPr>
    </w:p>
    <w:p w:rsidR="00E300B0" w:rsidRPr="0080665C" w:rsidRDefault="00E300B0" w:rsidP="00E300B0">
      <w:pPr>
        <w:bidi w:val="0"/>
        <w:spacing w:line="240" w:lineRule="exact"/>
        <w:rPr>
          <w:rFonts w:ascii="mylotus" w:eastAsiaTheme="minorEastAsia" w:hAnsi="mylotus" w:cs="mylotus"/>
          <w:b/>
          <w:bCs/>
          <w:sz w:val="28"/>
          <w:szCs w:val="28"/>
          <w:lang w:eastAsia="zh-CN"/>
        </w:rPr>
      </w:pPr>
    </w:p>
    <w:p w:rsidR="00E300B0" w:rsidRPr="0080665C" w:rsidRDefault="00E300B0" w:rsidP="00E300B0">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Pr="0080665C">
        <w:rPr>
          <w:rFonts w:ascii="FZYaoTi" w:eastAsia="FZYaoTi" w:hAnsi="TR Bahamas Light" w:hint="eastAsia"/>
          <w:b/>
          <w:bCs/>
          <w:color w:val="auto"/>
          <w:sz w:val="32"/>
          <w:szCs w:val="32"/>
          <w:lang w:val="tr-TR" w:eastAsia="zh-CN"/>
        </w:rPr>
        <w:t>:</w:t>
      </w:r>
      <w:r w:rsidRPr="0080665C">
        <w:rPr>
          <w:rFonts w:ascii="FZYaoTi" w:eastAsia="FZYaoTi" w:hAnsi="TR Bahamas Light" w:cs="mylotus" w:hint="eastAsia"/>
          <w:b/>
          <w:bCs/>
          <w:sz w:val="32"/>
          <w:szCs w:val="32"/>
          <w:lang w:eastAsia="zh-CN"/>
        </w:rPr>
        <w:t xml:space="preserve"> </w:t>
      </w:r>
      <w:r w:rsidRPr="0080665C">
        <w:rPr>
          <w:rFonts w:ascii="FZYaoTi" w:eastAsia="FZYaoTi" w:hAnsiTheme="minorEastAsia" w:hint="eastAsia"/>
          <w:kern w:val="28"/>
          <w:sz w:val="32"/>
          <w:szCs w:val="32"/>
          <w:lang w:eastAsia="zh-CN"/>
        </w:rPr>
        <w:t>伊斯兰之家中文小组</w:t>
      </w:r>
    </w:p>
    <w:p w:rsidR="00E300B0" w:rsidRPr="00EA6D56" w:rsidRDefault="00E300B0" w:rsidP="00E300B0">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Pr="00EA6D56">
        <w:rPr>
          <w:rFonts w:ascii="FZYaoTi" w:eastAsia="FZYaoTi" w:hAnsi="mylotus" w:cs="KFGQPC Uthman Taha Naskh" w:hint="eastAsia"/>
          <w:b/>
          <w:bCs/>
          <w:sz w:val="32"/>
          <w:szCs w:val="32"/>
          <w:rtl/>
          <w:lang w:bidi="ar-EG"/>
        </w:rPr>
        <w:t>فريق اللغة الصينية بموقع دار الإسلام</w:t>
      </w:r>
    </w:p>
    <w:p w:rsidR="00E300B0" w:rsidRDefault="00E300B0" w:rsidP="00E300B0">
      <w:pPr>
        <w:bidi w:val="0"/>
        <w:spacing w:line="240" w:lineRule="exact"/>
        <w:jc w:val="center"/>
        <w:rPr>
          <w:rFonts w:ascii="mylotus" w:hAnsi="mylotus" w:cs="mylotus"/>
          <w:b/>
          <w:bCs/>
          <w:sz w:val="28"/>
          <w:szCs w:val="28"/>
        </w:rPr>
      </w:pPr>
    </w:p>
    <w:p w:rsidR="00E300B0" w:rsidRDefault="00E300B0" w:rsidP="00E300B0">
      <w:pPr>
        <w:bidi w:val="0"/>
        <w:spacing w:line="240" w:lineRule="exact"/>
        <w:jc w:val="center"/>
        <w:rPr>
          <w:rFonts w:ascii="mylotus" w:hAnsi="mylotus" w:cs="mylotus"/>
          <w:b/>
          <w:bCs/>
          <w:sz w:val="28"/>
          <w:szCs w:val="28"/>
          <w:rtl/>
        </w:rPr>
      </w:pPr>
    </w:p>
    <w:p w:rsidR="00E300B0" w:rsidRDefault="00E300B0" w:rsidP="00E300B0">
      <w:pPr>
        <w:bidi w:val="0"/>
        <w:spacing w:line="240" w:lineRule="exact"/>
        <w:jc w:val="center"/>
        <w:rPr>
          <w:rFonts w:ascii="mylotus" w:hAnsi="mylotus" w:cs="mylotus"/>
          <w:b/>
          <w:bCs/>
          <w:sz w:val="28"/>
          <w:szCs w:val="28"/>
        </w:rPr>
      </w:pPr>
    </w:p>
    <w:p w:rsidR="00E300B0" w:rsidRPr="0007149E" w:rsidRDefault="00E300B0" w:rsidP="00E300B0">
      <w:pPr>
        <w:bidi w:val="0"/>
        <w:spacing w:line="240" w:lineRule="exact"/>
        <w:jc w:val="center"/>
        <w:rPr>
          <w:rFonts w:ascii="STXingkai" w:eastAsia="STXingkai" w:hAnsi="TR Bahamas Light"/>
          <w:b/>
          <w:bCs/>
          <w:color w:val="800000"/>
          <w:sz w:val="48"/>
          <w:szCs w:val="48"/>
          <w:lang w:val="tr-TR"/>
        </w:rPr>
      </w:pPr>
    </w:p>
    <w:p w:rsidR="00E300B0" w:rsidRPr="00962983" w:rsidRDefault="00E300B0" w:rsidP="00E300B0">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300B0" w:rsidRPr="00962983" w:rsidRDefault="00E300B0" w:rsidP="00E300B0">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300B0" w:rsidRDefault="00E300B0" w:rsidP="00E300B0">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A77DDF">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Pr="00962983">
        <w:rPr>
          <w:rFonts w:ascii="MS UI Gothic" w:eastAsiaTheme="minorEastAsia" w:hAnsi="MS UI Gothic" w:cs="Times New Roman" w:hint="eastAsia"/>
          <w:b/>
          <w:bCs/>
          <w:sz w:val="36"/>
          <w:lang w:eastAsia="zh-CN"/>
        </w:rPr>
        <w:t>3</w:t>
      </w:r>
      <w:r>
        <w:rPr>
          <w:rFonts w:ascii="MS UI Gothic" w:eastAsiaTheme="minorEastAsia" w:hAnsi="MS UI Gothic" w:cs="Times New Roman" w:hint="eastAsia"/>
          <w:b/>
          <w:bCs/>
          <w:sz w:val="36"/>
          <w:lang w:eastAsia="zh-CN"/>
        </w:rPr>
        <w:t>6</w:t>
      </w:r>
    </w:p>
    <w:p w:rsidR="00E300B0" w:rsidRDefault="00E300B0" w:rsidP="00E300B0">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2"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E300B0" w:rsidRPr="00A60587" w:rsidRDefault="00E300B0" w:rsidP="00E300B0">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E300B0" w:rsidRDefault="00E300B0" w:rsidP="00E300B0">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B23B16" w:rsidRPr="00B23B16" w:rsidRDefault="00B23B16" w:rsidP="00B23B16">
      <w:pPr>
        <w:bidi w:val="0"/>
        <w:spacing w:before="100" w:beforeAutospacing="1" w:after="100" w:afterAutospacing="1" w:line="276" w:lineRule="atLeast"/>
        <w:jc w:val="center"/>
        <w:outlineLvl w:val="1"/>
        <w:rPr>
          <w:rFonts w:ascii="STLiti" w:eastAsia="STLiti" w:hAnsi="Helvetica" w:cs="SimSun"/>
          <w:b/>
          <w:bCs/>
          <w:color w:val="0070C0"/>
          <w:sz w:val="10"/>
          <w:szCs w:val="10"/>
          <w:lang w:eastAsia="zh-CN"/>
        </w:rPr>
      </w:pPr>
      <w:bookmarkStart w:id="0" w:name="_GoBack"/>
    </w:p>
    <w:bookmarkEnd w:id="0"/>
    <w:p w:rsidR="00B23B16" w:rsidRDefault="00B23B16" w:rsidP="00B23B16">
      <w:pPr>
        <w:bidi w:val="0"/>
        <w:spacing w:before="100" w:beforeAutospacing="1" w:after="100" w:afterAutospacing="1" w:line="276" w:lineRule="atLeast"/>
        <w:jc w:val="center"/>
        <w:outlineLvl w:val="1"/>
        <w:rPr>
          <w:rFonts w:ascii="STLiti" w:eastAsia="STLiti" w:hAnsi="Helvetica" w:cs="SimSun"/>
          <w:b/>
          <w:bCs/>
          <w:color w:val="0070C0"/>
          <w:sz w:val="52"/>
          <w:szCs w:val="52"/>
          <w:lang w:eastAsia="zh-CN"/>
        </w:rPr>
      </w:pPr>
      <w:r>
        <w:rPr>
          <w:rFonts w:ascii="STLiti" w:eastAsia="STLiti" w:hAnsi="Helvetica" w:cs="SimSun" w:hint="eastAsia"/>
          <w:b/>
          <w:bCs/>
          <w:color w:val="0070C0"/>
          <w:sz w:val="52"/>
          <w:szCs w:val="52"/>
          <w:lang w:eastAsia="zh-CN"/>
        </w:rPr>
        <w:t>人人易得其天分</w:t>
      </w:r>
    </w:p>
    <w:p w:rsidR="00E300B0" w:rsidRPr="00E300B0" w:rsidRDefault="00E300B0" w:rsidP="00A77DDF">
      <w:pPr>
        <w:shd w:val="clear" w:color="auto" w:fill="F8F8F8"/>
        <w:bidi w:val="0"/>
        <w:spacing w:before="100" w:beforeAutospacing="1" w:after="96" w:line="432" w:lineRule="atLeast"/>
        <w:ind w:leftChars="-236" w:left="-1" w:hangingChars="257" w:hanging="565"/>
        <w:jc w:val="center"/>
        <w:rPr>
          <w:rFonts w:ascii="Verdana" w:hAnsi="Verdana" w:cs="SimSun"/>
          <w:color w:val="333333"/>
          <w:sz w:val="22"/>
          <w:szCs w:val="22"/>
          <w:lang w:eastAsia="zh-CN"/>
        </w:rPr>
      </w:pPr>
      <w:r>
        <w:rPr>
          <w:rFonts w:ascii="Verdana" w:hAnsi="Verdana" w:cs="SimSun"/>
          <w:noProof/>
          <w:color w:val="333333"/>
          <w:sz w:val="22"/>
          <w:szCs w:val="22"/>
        </w:rPr>
        <w:drawing>
          <wp:inline distT="0" distB="0" distL="0" distR="0">
            <wp:extent cx="6187440" cy="4084320"/>
            <wp:effectExtent l="19050" t="0" r="3810" b="0"/>
            <wp:docPr id="1" name="图片 2" descr="http://www.norislam.com/attachments/2013/04/9_201304181139011KRk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13/04/9_201304181139011KRkZ.jpg">
                      <a:hlinkClick r:id="rId10" tgtFrame="_blank"/>
                    </pic:cNvPr>
                    <pic:cNvPicPr>
                      <a:picLocks noChangeAspect="1" noChangeArrowheads="1"/>
                    </pic:cNvPicPr>
                  </pic:nvPicPr>
                  <pic:blipFill>
                    <a:blip r:embed="rId11" cstate="print"/>
                    <a:srcRect/>
                    <a:stretch>
                      <a:fillRect/>
                    </a:stretch>
                  </pic:blipFill>
                  <pic:spPr bwMode="auto">
                    <a:xfrm>
                      <a:off x="0" y="0"/>
                      <a:ext cx="6187440" cy="4084320"/>
                    </a:xfrm>
                    <a:prstGeom prst="rect">
                      <a:avLst/>
                    </a:prstGeom>
                    <a:noFill/>
                    <a:ln w="9525">
                      <a:noFill/>
                      <a:miter lim="800000"/>
                      <a:headEnd/>
                      <a:tailEnd/>
                    </a:ln>
                  </pic:spPr>
                </pic:pic>
              </a:graphicData>
            </a:graphic>
          </wp:inline>
        </w:drawing>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赞颂</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至尊无比、无限荣耀、普降恩泽、特赐恩典、洪恩浩荡、慷慨施恩的主，主在创造宇宙五万年前早已定好了众生之命运，然后在六日内创造了天地万物。衷心赞颂我主无限美好吉祥，独掌生杀予夺和兴衰废立之大权。我见证只有</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是应受崇拜的主，独一无二、掌管一切、绝对圣洁、无限完美、永生不灭、维护万物、永不休眠的主；我</w:t>
      </w:r>
      <w:r w:rsidRPr="00B23B16">
        <w:rPr>
          <w:rFonts w:ascii="Verdana" w:hAnsi="Verdana" w:cs="SimSun"/>
          <w:b/>
          <w:bCs/>
          <w:color w:val="333333"/>
          <w:sz w:val="36"/>
          <w:lang w:eastAsia="zh-CN"/>
        </w:rPr>
        <w:lastRenderedPageBreak/>
        <w:t>见证先知穆罕默德是主的仆人和使者，是人类之精华和我们最敬爱的人，主派他将徘徊于黑暗中的人类引向光明，并号召世人追求永恒的天堂，愿主永远赐福安于他和圣裔、圣妻及全体圣伴们！</w:t>
      </w:r>
    </w:p>
    <w:p w:rsidR="00E300B0" w:rsidRPr="00B23B16" w:rsidRDefault="00A77DDF"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安拉</w:t>
      </w:r>
      <w:r w:rsidR="00E300B0" w:rsidRPr="00B23B16">
        <w:rPr>
          <w:rFonts w:ascii="Verdana" w:hAnsi="Verdana" w:cs="SimSun"/>
          <w:b/>
          <w:bCs/>
          <w:color w:val="333333"/>
          <w:sz w:val="36"/>
          <w:lang w:eastAsia="zh-CN"/>
        </w:rPr>
        <w:t>的仆民啊！</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至尊主在睿哲的天经中说：</w:t>
      </w:r>
      <w:r w:rsidRPr="00B23B16">
        <w:rPr>
          <w:rFonts w:ascii="Verdana" w:hAnsi="Verdana" w:cs="SimSun"/>
          <w:b/>
          <w:bCs/>
          <w:color w:val="333333"/>
          <w:sz w:val="36"/>
          <w:lang w:eastAsia="zh-CN"/>
        </w:rPr>
        <w:t>“</w:t>
      </w:r>
      <w:r w:rsidRPr="00B23B16">
        <w:rPr>
          <w:rFonts w:ascii="Verdana" w:hAnsi="Verdana" w:cs="SimSun"/>
          <w:b/>
          <w:bCs/>
          <w:color w:val="00B050"/>
          <w:sz w:val="36"/>
          <w:lang w:eastAsia="zh-CN"/>
        </w:rPr>
        <w:t>信士们啊！你们要虔诚地敬畏</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，只应以顺从者的身份死亡</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3</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102</w:t>
      </w:r>
      <w:r w:rsidRPr="00B23B16">
        <w:rPr>
          <w:rFonts w:ascii="Verdana" w:hAnsi="Verdana" w:cs="SimSun"/>
          <w:b/>
          <w:bCs/>
          <w:color w:val="333333"/>
          <w:sz w:val="36"/>
          <w:lang w:eastAsia="zh-CN"/>
        </w:rPr>
        <w:t>）</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各位信士：</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信前定与定然是正信要素和正教基础之一，不坚信前定和定然的人与伊斯兰无缘。前定和定然分两种：宇宙宏观前定，个人微观前定。</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宇宙宏观前定，早在造化万物之前就已定好。先知（主赐福安）说过：</w:t>
      </w:r>
      <w:r w:rsidRPr="00B23B16">
        <w:rPr>
          <w:rFonts w:ascii="Verdana" w:hAnsi="Verdana" w:cs="SimSun"/>
          <w:b/>
          <w:bCs/>
          <w:color w:val="333333"/>
          <w:sz w:val="36"/>
          <w:lang w:eastAsia="zh-CN"/>
        </w:rPr>
        <w:t>“</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在造化天地五万年之前，就已经定好了众生的一切。</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（阿布顿拉</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本阿穆尔</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本阿斯传述《穆斯林圣训录》第</w:t>
      </w:r>
      <w:r w:rsidRPr="00B23B16">
        <w:rPr>
          <w:rFonts w:ascii="Verdana" w:hAnsi="Verdana" w:cs="SimSun"/>
          <w:b/>
          <w:bCs/>
          <w:color w:val="333333"/>
          <w:sz w:val="36"/>
          <w:lang w:eastAsia="zh-CN"/>
        </w:rPr>
        <w:t>2653</w:t>
      </w:r>
      <w:r w:rsidRPr="00B23B16">
        <w:rPr>
          <w:rFonts w:ascii="Verdana" w:hAnsi="Verdana" w:cs="SimSun"/>
          <w:b/>
          <w:bCs/>
          <w:color w:val="333333"/>
          <w:sz w:val="36"/>
          <w:lang w:eastAsia="zh-CN"/>
        </w:rPr>
        <w:t>段）</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个人微观前定，人在娘胎里时就已定好。先知（主赐福安）说：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你们每个人的原质最初聚在母亲的子宫内，四十天后变成一块血，再过四十天后变成一块肉团，再过四十天</w:t>
      </w:r>
      <w:r w:rsidRPr="00B23B16">
        <w:rPr>
          <w:rFonts w:ascii="Verdana" w:hAnsi="Verdana" w:cs="SimSun"/>
          <w:b/>
          <w:bCs/>
          <w:color w:val="333333"/>
          <w:sz w:val="36"/>
          <w:lang w:eastAsia="zh-CN"/>
        </w:rPr>
        <w:lastRenderedPageBreak/>
        <w:t>后主派一位天神来给其吹入灵魂，并令其负责监护给人注定的四件事：给养、寿限、行为、祸福。以独一无二的主起誓！有的人做事看似天堂人的行为，距离天堂只剩一尺之遥，然而天命注定去犯火狱人的罪行，最后坠入火狱；有的人做事看似火狱人的行为，距离火狱只剩一尺之遥，然而天命注定去干天堂人的善行，最后进入天堂。</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（阿布顿拉</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本麦斯欧德传述《布哈里圣训录》第</w:t>
      </w:r>
      <w:r w:rsidRPr="00B23B16">
        <w:rPr>
          <w:rFonts w:ascii="Verdana" w:hAnsi="Verdana" w:cs="SimSun"/>
          <w:b/>
          <w:bCs/>
          <w:color w:val="333333"/>
          <w:sz w:val="36"/>
          <w:lang w:eastAsia="zh-CN"/>
        </w:rPr>
        <w:t>6594</w:t>
      </w:r>
      <w:r w:rsidRPr="00B23B16">
        <w:rPr>
          <w:rFonts w:ascii="Verdana" w:hAnsi="Verdana" w:cs="SimSun"/>
          <w:b/>
          <w:bCs/>
          <w:color w:val="333333"/>
          <w:sz w:val="36"/>
          <w:lang w:eastAsia="zh-CN"/>
        </w:rPr>
        <w:t>段、《穆斯林圣训录》第</w:t>
      </w:r>
      <w:r w:rsidRPr="00B23B16">
        <w:rPr>
          <w:rFonts w:ascii="Verdana" w:hAnsi="Verdana" w:cs="SimSun"/>
          <w:b/>
          <w:bCs/>
          <w:color w:val="333333"/>
          <w:sz w:val="36"/>
          <w:lang w:eastAsia="zh-CN"/>
        </w:rPr>
        <w:t>2643</w:t>
      </w:r>
      <w:r w:rsidRPr="00B23B16">
        <w:rPr>
          <w:rFonts w:ascii="Verdana" w:hAnsi="Verdana" w:cs="SimSun"/>
          <w:b/>
          <w:bCs/>
          <w:color w:val="333333"/>
          <w:sz w:val="36"/>
          <w:lang w:eastAsia="zh-CN"/>
        </w:rPr>
        <w:t>段）</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这里所说的祸福已定，并非要人消极怠惰，而是要人积极主动作为，做到生命不息奋斗不止。大贤阿里</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本艾卜塔利布（主降喜悦）传述：</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我们到柏给尔陵园送葬，先知拄着一根手杖来到我们跟前坐下，我们也围着他而坐。先知以杖击地低头沉思了一会儿，然后说道：</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任何一个有生命的人，其在天堂或火狱中的位置早已被</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定好，早被注定要么薄福、要么有福。</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于是有人说道：</w:t>
      </w:r>
      <w:r w:rsidRPr="00B23B16">
        <w:rPr>
          <w:rFonts w:ascii="Verdana" w:hAnsi="Verdana" w:cs="SimSun"/>
          <w:b/>
          <w:bCs/>
          <w:color w:val="333333"/>
          <w:sz w:val="36"/>
          <w:lang w:eastAsia="zh-CN"/>
        </w:rPr>
        <w:t>‘</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的使者啊！既然如此，我们是否可以依赖前定而放弃作为呢？</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先知说：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有福之人终归有幸福之举，薄福之人终归有薄福之举。你们积极作为吧！人人易得其天分，有福之人易行有福之事，薄福之人易行薄福之事。</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接着先知念道：</w:t>
      </w:r>
      <w:r w:rsidRPr="00B23B16">
        <w:rPr>
          <w:rFonts w:ascii="Verdana" w:hAnsi="Verdana" w:cs="SimSun"/>
          <w:b/>
          <w:bCs/>
          <w:color w:val="333333"/>
          <w:sz w:val="36"/>
          <w:lang w:eastAsia="zh-CN"/>
        </w:rPr>
        <w:t>‘</w:t>
      </w:r>
      <w:r w:rsidRPr="00B23B16">
        <w:rPr>
          <w:rFonts w:ascii="Verdana" w:hAnsi="Verdana" w:cs="SimSun"/>
          <w:b/>
          <w:bCs/>
          <w:color w:val="00B050"/>
          <w:sz w:val="36"/>
          <w:lang w:eastAsia="zh-CN"/>
        </w:rPr>
        <w:t>以笼罩的黑夜为证，以明亮的白昼为证，以造化男性和女性的主为证，你们的行为确实</w:t>
      </w:r>
      <w:r w:rsidRPr="00B23B16">
        <w:rPr>
          <w:rFonts w:ascii="Verdana" w:hAnsi="Verdana" w:cs="SimSun"/>
          <w:b/>
          <w:bCs/>
          <w:color w:val="00B050"/>
          <w:sz w:val="36"/>
          <w:lang w:eastAsia="zh-CN"/>
        </w:rPr>
        <w:lastRenderedPageBreak/>
        <w:t>不同。凡慷慨施舍、敬畏</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，并信仰至善的人，我会使其容易得到善果。凡自私吝啬、狂妄自负，并否认至善的人，我会使其容易得到恶果</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92</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1</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10</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（《布哈里圣训录》第</w:t>
      </w:r>
      <w:r w:rsidRPr="00B23B16">
        <w:rPr>
          <w:rFonts w:ascii="Verdana" w:hAnsi="Verdana" w:cs="SimSun"/>
          <w:b/>
          <w:bCs/>
          <w:color w:val="333333"/>
          <w:sz w:val="36"/>
          <w:lang w:eastAsia="zh-CN"/>
        </w:rPr>
        <w:t>1362</w:t>
      </w:r>
      <w:r w:rsidRPr="00B23B16">
        <w:rPr>
          <w:rFonts w:ascii="Verdana" w:hAnsi="Verdana" w:cs="SimSun"/>
          <w:b/>
          <w:bCs/>
          <w:color w:val="333333"/>
          <w:sz w:val="36"/>
          <w:lang w:eastAsia="zh-CN"/>
        </w:rPr>
        <w:t>段、《穆斯林圣训录》第</w:t>
      </w:r>
      <w:r w:rsidRPr="00B23B16">
        <w:rPr>
          <w:rFonts w:ascii="Verdana" w:hAnsi="Verdana" w:cs="SimSun"/>
          <w:b/>
          <w:bCs/>
          <w:color w:val="333333"/>
          <w:sz w:val="36"/>
          <w:lang w:eastAsia="zh-CN"/>
        </w:rPr>
        <w:t>2647</w:t>
      </w:r>
      <w:r w:rsidRPr="00B23B16">
        <w:rPr>
          <w:rFonts w:ascii="Verdana" w:hAnsi="Verdana" w:cs="SimSun"/>
          <w:b/>
          <w:bCs/>
          <w:color w:val="333333"/>
          <w:sz w:val="36"/>
          <w:lang w:eastAsia="zh-CN"/>
        </w:rPr>
        <w:t>段）</w:t>
      </w:r>
    </w:p>
    <w:p w:rsidR="00E300B0" w:rsidRPr="00B23B16" w:rsidRDefault="00A77DDF"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安拉</w:t>
      </w:r>
      <w:r w:rsidR="00E300B0" w:rsidRPr="00B23B16">
        <w:rPr>
          <w:rFonts w:ascii="Verdana" w:hAnsi="Verdana" w:cs="SimSun"/>
          <w:b/>
          <w:bCs/>
          <w:color w:val="333333"/>
          <w:sz w:val="36"/>
          <w:lang w:eastAsia="zh-CN"/>
        </w:rPr>
        <w:t>给众生造就的生存法则是：通过手段谋求生活。人只有通过采取力所能及的手段，才能获得前定了的东西。一个人越是积极想方设法，就离为他前定好的目标越近。一个人前定中有孩子，他只有通过结婚才能生育孩子。一个人前定中有丰收，他只有通过播种才能收获。一个人前定中会以水止渴，他必须喝了水才能解渴。</w:t>
      </w:r>
    </w:p>
    <w:p w:rsidR="00E300B0" w:rsidRPr="00B23B16" w:rsidRDefault="00A77DDF"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安拉</w:t>
      </w:r>
      <w:r w:rsidR="00E300B0" w:rsidRPr="00B23B16">
        <w:rPr>
          <w:rFonts w:ascii="Verdana" w:hAnsi="Verdana" w:cs="SimSun"/>
          <w:b/>
          <w:bCs/>
          <w:color w:val="333333"/>
          <w:sz w:val="36"/>
          <w:lang w:eastAsia="zh-CN"/>
        </w:rPr>
        <w:t>的信民啊！</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对于前定和定然，先知（主赐福安）指示教民两件事，以便信士心神宁静安于天命：</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第一：相信前定和定然，因为这是认主独一的信仰原则。</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第二：采用趋利避害的各种手段，因为这是谋生的法则。</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正如先知（主赐福安）所说：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尽管各有各的福分，但在</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看来，强壮的信士比懦弱的信士更好更可爱。你要重视有利于你的各项因素，做事求助于</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，轻易不要绝望。</w:t>
      </w:r>
      <w:r w:rsidRPr="00B23B16">
        <w:rPr>
          <w:rFonts w:ascii="Verdana" w:hAnsi="Verdana" w:cs="SimSun"/>
          <w:b/>
          <w:bCs/>
          <w:color w:val="333333"/>
          <w:sz w:val="36"/>
          <w:lang w:eastAsia="zh-CN"/>
        </w:rPr>
        <w:lastRenderedPageBreak/>
        <w:t>遇事不要说：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假如我当时如何结果就会如何</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之类的话。应该说：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这是</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的定然，</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意欲之事必然会发生。</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假如</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一词会让魔鬼有机可乘。</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（艾卜胡莱赖传述《穆斯林圣训录》第</w:t>
      </w:r>
      <w:r w:rsidRPr="00B23B16">
        <w:rPr>
          <w:rFonts w:ascii="Verdana" w:hAnsi="Verdana" w:cs="SimSun"/>
          <w:b/>
          <w:bCs/>
          <w:color w:val="333333"/>
          <w:sz w:val="36"/>
          <w:lang w:eastAsia="zh-CN"/>
        </w:rPr>
        <w:t>2664</w:t>
      </w:r>
      <w:r w:rsidRPr="00B23B16">
        <w:rPr>
          <w:rFonts w:ascii="Verdana" w:hAnsi="Verdana" w:cs="SimSun"/>
          <w:b/>
          <w:bCs/>
          <w:color w:val="333333"/>
          <w:sz w:val="36"/>
          <w:lang w:eastAsia="zh-CN"/>
        </w:rPr>
        <w:t>段）</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其实，人都应该想明白：人拿什么抗衡主的前定和定然？人在哪一件事情上能够跟主作对呢？人能改变早在造化天地万物五万年前就已定好了的事情呢？还是能改变自己尚是母亲子宫内的一块肉团时就已定好了的事情？</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人能做的不是与主较劲，而是应该反省自身的过失。一旦明白了前定和定然已成定局，就应该从容应对前定，对定然之事坦然接受无怨无悔，以免失去接受主的回赐和奖赏的机会。在遭遇无法避免的前定之痛苦时，应及时求助于永生不灭和维护万物的主。</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人求助于主的标志是：在遭遇前定的灾难时，使自己习惯于在第一时间能做到忍耐。圣伴艾奈斯</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本马立克（主降喜悦）传述：</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先知看见一位妇女在一座坟前为失去孩子而恸哭不已，便前去安慰她说：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你要敬畏</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，要节哀顺主。</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那位妇女不认得先知，便没好气地说道：</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走开！那是因为你没有碰上我这样的遭遇。</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先知默然离去，有人告诉她那人就</w:t>
      </w:r>
      <w:r w:rsidRPr="00B23B16">
        <w:rPr>
          <w:rFonts w:ascii="Verdana" w:hAnsi="Verdana" w:cs="SimSun"/>
          <w:b/>
          <w:bCs/>
          <w:color w:val="333333"/>
          <w:sz w:val="36"/>
          <w:lang w:eastAsia="zh-CN"/>
        </w:rPr>
        <w:lastRenderedPageBreak/>
        <w:t>是先知。她听后大吃一惊，急忙跑去先知家道歉。她见没有人把门，便进去对先知说：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主的使者啊！我没有认出您来。</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先知对她说：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人在最初受到打击时，一定要忍耐。</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（《布哈里圣训录》第</w:t>
      </w:r>
      <w:r w:rsidRPr="00B23B16">
        <w:rPr>
          <w:rFonts w:ascii="Verdana" w:hAnsi="Verdana" w:cs="SimSun"/>
          <w:b/>
          <w:bCs/>
          <w:color w:val="333333"/>
          <w:sz w:val="36"/>
          <w:lang w:eastAsia="zh-CN"/>
        </w:rPr>
        <w:t>1283</w:t>
      </w:r>
      <w:r w:rsidRPr="00B23B16">
        <w:rPr>
          <w:rFonts w:ascii="Verdana" w:hAnsi="Verdana" w:cs="SimSun"/>
          <w:b/>
          <w:bCs/>
          <w:color w:val="333333"/>
          <w:sz w:val="36"/>
          <w:lang w:eastAsia="zh-CN"/>
        </w:rPr>
        <w:t>段、《穆斯林圣训录》第</w:t>
      </w:r>
      <w:r w:rsidRPr="00B23B16">
        <w:rPr>
          <w:rFonts w:ascii="Verdana" w:hAnsi="Verdana" w:cs="SimSun"/>
          <w:b/>
          <w:bCs/>
          <w:color w:val="333333"/>
          <w:sz w:val="36"/>
          <w:lang w:eastAsia="zh-CN"/>
        </w:rPr>
        <w:t>926</w:t>
      </w:r>
      <w:r w:rsidRPr="00B23B16">
        <w:rPr>
          <w:rFonts w:ascii="Verdana" w:hAnsi="Verdana" w:cs="SimSun"/>
          <w:b/>
          <w:bCs/>
          <w:color w:val="333333"/>
          <w:sz w:val="36"/>
          <w:lang w:eastAsia="zh-CN"/>
        </w:rPr>
        <w:t>段）</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愿主以伟大的《古兰经》赐福我和你们，使我们大家受益于指引正道和宣扬正教的先知之路。</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我讲这些，是为了祈望主饶恕我们所犯的罪过，大家向主忏悔吧！主会宽恕忏悔者、奖赏行善者。</w:t>
      </w:r>
    </w:p>
    <w:p w:rsidR="00E300B0" w:rsidRPr="00B23B16" w:rsidRDefault="00E300B0" w:rsidP="00675037">
      <w:pPr>
        <w:shd w:val="clear" w:color="auto" w:fill="F8F8F8"/>
        <w:bidi w:val="0"/>
        <w:spacing w:before="100" w:beforeAutospacing="1" w:after="96" w:line="360" w:lineRule="auto"/>
        <w:ind w:firstLineChars="196" w:firstLine="708"/>
        <w:jc w:val="center"/>
        <w:rPr>
          <w:rFonts w:ascii="Verdana" w:hAnsi="Verdana" w:cs="SimSun"/>
          <w:b/>
          <w:bCs/>
          <w:color w:val="333333"/>
          <w:sz w:val="36"/>
          <w:lang w:eastAsia="zh-CN"/>
        </w:rPr>
      </w:pPr>
      <w:r w:rsidRPr="00B23B16">
        <w:rPr>
          <w:rFonts w:ascii="Verdana" w:hAnsi="Verdana" w:cs="SimSun"/>
          <w:b/>
          <w:bCs/>
          <w:color w:val="333333"/>
          <w:sz w:val="36"/>
          <w:lang w:eastAsia="zh-CN"/>
        </w:rPr>
        <w:t>第二部分</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赞颂</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他要给予的东西无人能阻挡，他要阻止的东西无人能给予，他赐予的给养永不枯竭！伟哉我主！尽知人的一切意念，所有能言会道、沉默寡语、动态与静态的生命都在赞颂主的伟大。衷心赞美我主无限美好吉祥，洪恩浩荡施恩无疆。我见证只有</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是应受崇拜的主，独一无二、绝无匹敌的主，此证言可在后世的恐怖之日拯救见证者；我见证我们敬爱的先知穆罕默德是主的仆人和被派往全人类的亲密使者，愿主永远赐福安于他和圣裔、圣妻及虔诚敬主、彪炳千古的圣伴们！</w:t>
      </w:r>
    </w:p>
    <w:p w:rsidR="00E300B0" w:rsidRPr="00B23B16" w:rsidRDefault="00A77DDF"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lastRenderedPageBreak/>
        <w:t>安拉</w:t>
      </w:r>
      <w:r w:rsidR="00E300B0" w:rsidRPr="00B23B16">
        <w:rPr>
          <w:rFonts w:ascii="Verdana" w:hAnsi="Verdana" w:cs="SimSun"/>
          <w:b/>
          <w:bCs/>
          <w:color w:val="333333"/>
          <w:sz w:val="36"/>
          <w:lang w:eastAsia="zh-CN"/>
        </w:rPr>
        <w:t>的仆民啊！</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至尊主在睿哲的天经中说：</w:t>
      </w:r>
      <w:r w:rsidRPr="00B23B16">
        <w:rPr>
          <w:rFonts w:ascii="Verdana" w:hAnsi="Verdana" w:cs="SimSun"/>
          <w:b/>
          <w:bCs/>
          <w:color w:val="333333"/>
          <w:sz w:val="36"/>
          <w:lang w:eastAsia="zh-CN"/>
        </w:rPr>
        <w:t>“</w:t>
      </w:r>
      <w:r w:rsidRPr="00B23B16">
        <w:rPr>
          <w:rFonts w:ascii="Verdana" w:hAnsi="Verdana" w:cs="SimSun"/>
          <w:b/>
          <w:bCs/>
          <w:color w:val="00B050"/>
          <w:sz w:val="36"/>
          <w:lang w:eastAsia="zh-CN"/>
        </w:rPr>
        <w:t>信士们啊！你们要敬畏</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，并说正确的话，</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就会改善你们的行为，宽恕你们的罪过。顺从</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及其使者的人必获巨大的成功</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33</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70</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71</w:t>
      </w:r>
      <w:r w:rsidRPr="00B23B16">
        <w:rPr>
          <w:rFonts w:ascii="Verdana" w:hAnsi="Verdana" w:cs="SimSun"/>
          <w:b/>
          <w:bCs/>
          <w:color w:val="333333"/>
          <w:sz w:val="36"/>
          <w:lang w:eastAsia="zh-CN"/>
        </w:rPr>
        <w:t>）</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各位穆斯林：</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人在遭遇前定的灾祸时，一定要托靠主。正如圣伴阿布顿拉</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本安巴斯（主降喜悦）引用《古兰经》时所说：</w:t>
      </w:r>
      <w:r w:rsidRPr="00B23B16">
        <w:rPr>
          <w:rFonts w:ascii="Verdana" w:hAnsi="Verdana" w:cs="SimSun"/>
          <w:b/>
          <w:bCs/>
          <w:color w:val="333333"/>
          <w:sz w:val="36"/>
          <w:lang w:eastAsia="zh-CN"/>
        </w:rPr>
        <w:t>“‘</w:t>
      </w:r>
      <w:r w:rsidRPr="00B23B16">
        <w:rPr>
          <w:rFonts w:ascii="Verdana" w:hAnsi="Verdana" w:cs="SimSun"/>
          <w:b/>
          <w:bCs/>
          <w:color w:val="00B050"/>
          <w:sz w:val="36"/>
          <w:lang w:eastAsia="zh-CN"/>
        </w:rPr>
        <w:t>我们有</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就够了，他是最好的监护者！</w:t>
      </w:r>
      <w:r w:rsidRPr="00B23B16">
        <w:rPr>
          <w:rFonts w:ascii="Verdana" w:hAnsi="Verdana" w:cs="SimSun"/>
          <w:b/>
          <w:bCs/>
          <w:color w:val="00B050"/>
          <w:sz w:val="36"/>
          <w:lang w:eastAsia="zh-CN"/>
        </w:rPr>
        <w:t>’</w:t>
      </w:r>
      <w:r w:rsidRPr="00B23B16">
        <w:rPr>
          <w:rFonts w:ascii="Verdana" w:hAnsi="Verdana" w:cs="SimSun"/>
          <w:b/>
          <w:bCs/>
          <w:color w:val="00B050"/>
          <w:sz w:val="36"/>
          <w:lang w:eastAsia="zh-CN"/>
        </w:rPr>
        <w:t>这是先知伊卜拉罕被投进烈火时说的话，先知穆罕默德也说这句话，当时有人对他说：</w:t>
      </w:r>
      <w:r w:rsidRPr="00B23B16">
        <w:rPr>
          <w:rFonts w:ascii="Verdana" w:hAnsi="Verdana" w:cs="SimSun"/>
          <w:b/>
          <w:bCs/>
          <w:color w:val="00B050"/>
          <w:sz w:val="36"/>
          <w:lang w:eastAsia="zh-CN"/>
        </w:rPr>
        <w:t>‘</w:t>
      </w:r>
      <w:r w:rsidRPr="00B23B16">
        <w:rPr>
          <w:rFonts w:ascii="Verdana" w:hAnsi="Verdana" w:cs="SimSun"/>
          <w:b/>
          <w:bCs/>
          <w:color w:val="00B050"/>
          <w:sz w:val="36"/>
          <w:lang w:eastAsia="zh-CN"/>
        </w:rPr>
        <w:t>那些人已集结起来准备对付你们，你们可要当心啊！</w:t>
      </w:r>
      <w:r w:rsidRPr="00B23B16">
        <w:rPr>
          <w:rFonts w:ascii="Verdana" w:hAnsi="Verdana" w:cs="SimSun"/>
          <w:b/>
          <w:bCs/>
          <w:color w:val="00B050"/>
          <w:sz w:val="36"/>
          <w:lang w:eastAsia="zh-CN"/>
        </w:rPr>
        <w:t>’</w:t>
      </w:r>
      <w:r w:rsidRPr="00B23B16">
        <w:rPr>
          <w:rFonts w:ascii="Verdana" w:hAnsi="Verdana" w:cs="SimSun"/>
          <w:b/>
          <w:bCs/>
          <w:color w:val="00B050"/>
          <w:sz w:val="36"/>
          <w:lang w:eastAsia="zh-CN"/>
        </w:rPr>
        <w:t>此话却增强了他们的信念，他们说：</w:t>
      </w:r>
      <w:r w:rsidRPr="00B23B16">
        <w:rPr>
          <w:rFonts w:ascii="Verdana" w:hAnsi="Verdana" w:cs="SimSun"/>
          <w:b/>
          <w:bCs/>
          <w:color w:val="00B050"/>
          <w:sz w:val="36"/>
          <w:lang w:eastAsia="zh-CN"/>
        </w:rPr>
        <w:t>‘</w:t>
      </w:r>
      <w:r w:rsidRPr="00B23B16">
        <w:rPr>
          <w:rFonts w:ascii="Verdana" w:hAnsi="Verdana" w:cs="SimSun"/>
          <w:b/>
          <w:bCs/>
          <w:color w:val="00B050"/>
          <w:sz w:val="36"/>
          <w:lang w:eastAsia="zh-CN"/>
        </w:rPr>
        <w:t>我们有</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就够了，他是最好的监护者！</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3</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173</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（《布哈里圣训录》第</w:t>
      </w:r>
      <w:r w:rsidRPr="00B23B16">
        <w:rPr>
          <w:rFonts w:ascii="Verdana" w:hAnsi="Verdana" w:cs="SimSun"/>
          <w:b/>
          <w:bCs/>
          <w:color w:val="333333"/>
          <w:sz w:val="36"/>
          <w:lang w:eastAsia="zh-CN"/>
        </w:rPr>
        <w:t>4563</w:t>
      </w:r>
      <w:r w:rsidRPr="00B23B16">
        <w:rPr>
          <w:rFonts w:ascii="Verdana" w:hAnsi="Verdana" w:cs="SimSun"/>
          <w:b/>
          <w:bCs/>
          <w:color w:val="333333"/>
          <w:sz w:val="36"/>
          <w:lang w:eastAsia="zh-CN"/>
        </w:rPr>
        <w:t>段）</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人在遭受定然之痛时，只应向主诉说不幸。就像《古兰经》中描述先知雅古布（主赐福安）所说的话：</w:t>
      </w:r>
      <w:r w:rsidRPr="00B23B16">
        <w:rPr>
          <w:rFonts w:ascii="Verdana" w:hAnsi="Verdana" w:cs="SimSun"/>
          <w:b/>
          <w:bCs/>
          <w:color w:val="333333"/>
          <w:sz w:val="36"/>
          <w:lang w:eastAsia="zh-CN"/>
        </w:rPr>
        <w:t>“</w:t>
      </w:r>
      <w:r w:rsidRPr="00B23B16">
        <w:rPr>
          <w:rFonts w:ascii="Verdana" w:hAnsi="Verdana" w:cs="SimSun"/>
          <w:b/>
          <w:bCs/>
          <w:color w:val="00B050"/>
          <w:sz w:val="36"/>
          <w:lang w:eastAsia="zh-CN"/>
        </w:rPr>
        <w:t>他说：</w:t>
      </w:r>
      <w:r w:rsidRPr="00B23B16">
        <w:rPr>
          <w:rFonts w:ascii="Verdana" w:hAnsi="Verdana" w:cs="SimSun"/>
          <w:b/>
          <w:bCs/>
          <w:color w:val="00B050"/>
          <w:sz w:val="36"/>
          <w:lang w:eastAsia="zh-CN"/>
        </w:rPr>
        <w:t>‘</w:t>
      </w:r>
      <w:r w:rsidRPr="00B23B16">
        <w:rPr>
          <w:rFonts w:ascii="Verdana" w:hAnsi="Verdana" w:cs="SimSun"/>
          <w:b/>
          <w:bCs/>
          <w:color w:val="00B050"/>
          <w:sz w:val="36"/>
          <w:lang w:eastAsia="zh-CN"/>
        </w:rPr>
        <w:t>我只向</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诉说我的悲伤和痛苦，我从</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那里知道你们所不知的</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12</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86</w:t>
      </w:r>
      <w:r w:rsidRPr="00B23B16">
        <w:rPr>
          <w:rFonts w:ascii="Verdana" w:hAnsi="Verdana" w:cs="SimSun"/>
          <w:b/>
          <w:bCs/>
          <w:color w:val="333333"/>
          <w:sz w:val="36"/>
          <w:lang w:eastAsia="zh-CN"/>
        </w:rPr>
        <w:t>）</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lastRenderedPageBreak/>
        <w:t>向主诉说被造物，与向被造物诉说主，二者之间有着天壤之别。曾有一位学者看见一个人总是向别人诉说自己的不幸，便劝他说：</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你呀！怎么向不怜悯你的人，诉说怜悯你的主呢？</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诗人说得好：</w:t>
      </w:r>
    </w:p>
    <w:p w:rsidR="00E300B0" w:rsidRPr="00B23B16" w:rsidRDefault="00E300B0" w:rsidP="00675037">
      <w:pPr>
        <w:shd w:val="clear" w:color="auto" w:fill="F8F8F8"/>
        <w:bidi w:val="0"/>
        <w:spacing w:line="360" w:lineRule="auto"/>
        <w:ind w:firstLineChars="196" w:firstLine="708"/>
        <w:jc w:val="center"/>
        <w:rPr>
          <w:rFonts w:ascii="Verdana" w:hAnsi="Verdana" w:cs="SimSun"/>
          <w:b/>
          <w:bCs/>
          <w:color w:val="333333"/>
          <w:sz w:val="36"/>
          <w:lang w:eastAsia="zh-CN"/>
        </w:rPr>
      </w:pPr>
      <w:r w:rsidRPr="00B23B16">
        <w:rPr>
          <w:rFonts w:ascii="Verdana" w:hAnsi="Verdana" w:cs="SimSun"/>
          <w:b/>
          <w:bCs/>
          <w:color w:val="333333"/>
          <w:sz w:val="36"/>
          <w:lang w:eastAsia="zh-CN"/>
        </w:rPr>
        <w:t>灾祸来时要忍耐主的慈悯时时在</w:t>
      </w:r>
    </w:p>
    <w:p w:rsidR="00E300B0" w:rsidRPr="00B23B16" w:rsidRDefault="00E300B0" w:rsidP="00675037">
      <w:pPr>
        <w:shd w:val="clear" w:color="auto" w:fill="F8F8F8"/>
        <w:bidi w:val="0"/>
        <w:spacing w:line="360" w:lineRule="auto"/>
        <w:ind w:firstLineChars="196" w:firstLine="708"/>
        <w:jc w:val="center"/>
        <w:rPr>
          <w:rFonts w:ascii="Verdana" w:hAnsi="Verdana" w:cs="SimSun"/>
          <w:b/>
          <w:bCs/>
          <w:color w:val="333333"/>
          <w:sz w:val="36"/>
          <w:lang w:eastAsia="zh-CN"/>
        </w:rPr>
      </w:pPr>
      <w:r w:rsidRPr="00B23B16">
        <w:rPr>
          <w:rFonts w:ascii="Verdana" w:hAnsi="Verdana" w:cs="SimSun"/>
          <w:b/>
          <w:bCs/>
          <w:color w:val="333333"/>
          <w:sz w:val="36"/>
          <w:lang w:eastAsia="zh-CN"/>
        </w:rPr>
        <w:t>愚人求人不求主智者求主不求人</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现在让我们遵照主的命令祝福先知穆罕默德，至尊主的至实话语说：</w:t>
      </w:r>
      <w:r w:rsidRPr="00B23B16">
        <w:rPr>
          <w:rFonts w:ascii="Verdana" w:hAnsi="Verdana" w:cs="SimSun"/>
          <w:b/>
          <w:bCs/>
          <w:color w:val="333333"/>
          <w:sz w:val="36"/>
          <w:lang w:eastAsia="zh-CN"/>
        </w:rPr>
        <w:t>“</w:t>
      </w:r>
      <w:r w:rsidR="00A77DDF" w:rsidRPr="00B23B16">
        <w:rPr>
          <w:rFonts w:ascii="Verdana" w:hAnsi="Verdana" w:cs="SimSun"/>
          <w:b/>
          <w:bCs/>
          <w:color w:val="00B050"/>
          <w:sz w:val="36"/>
          <w:lang w:eastAsia="zh-CN"/>
        </w:rPr>
        <w:t>安拉</w:t>
      </w:r>
      <w:r w:rsidRPr="00B23B16">
        <w:rPr>
          <w:rFonts w:ascii="Verdana" w:hAnsi="Verdana" w:cs="SimSun"/>
          <w:b/>
          <w:bCs/>
          <w:color w:val="00B050"/>
          <w:sz w:val="36"/>
          <w:lang w:eastAsia="zh-CN"/>
        </w:rPr>
        <w:t>和他的天神们在祝福先知，信士们啊！你们应当为他祈福，应当向他祝安</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33</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56</w:t>
      </w:r>
      <w:r w:rsidRPr="00B23B16">
        <w:rPr>
          <w:rFonts w:ascii="Verdana" w:hAnsi="Verdana" w:cs="SimSun"/>
          <w:b/>
          <w:bCs/>
          <w:color w:val="333333"/>
          <w:sz w:val="36"/>
          <w:lang w:eastAsia="zh-CN"/>
        </w:rPr>
        <w:t>）</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主啊！求您永远赐福安于先知穆罕默德和纯洁善良的圣裔、高贵有福的圣伴及其追随者们。主啊！求您喜爱四大正统哈里发和正道领袖们；主啊！求您饶恕所有的男女信士和穆斯林，宽恕他们中的活人和亡人，您是至听至近、有求必应的主。</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主啊！求您指引我们成为受您引导的人，求您保佑我们成为您赐予健康的人，求您佑助我们成为被您援助的人，求您赐福于我们受赐之物，求您护佑我们免遭定然之祸，您以真理判定一切而不受任何判决；求您使一切定然成为我们的福。</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lastRenderedPageBreak/>
        <w:t>主啊！求您使伊斯兰和穆斯林变得强大，使以物配主行为和以物配主者变得卑贱；主啊！求您使我们的心灵因热爱您而变得宁静，使我们的口舌因赞颂您而受到滋润，使我们的肢体因您的威严而变得恭顺。主啊！求您使我们万事得善果，使我们免遭今世的耻辱和后世的惩罚。主啊！求您以最好的时光结束我们的生命，用最好的善行圆满我们的功修，使最佳吉日成为我们觐见您的日子。</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主啊！求您使我们成为感谢您、赞颂您、恭顺您、祈求您的人；主啊！求您接受我们的忏悔、洗涤我们的罪孽、答应我们的请求、坚定我们的信念、引导我们的心灵、纠正我们的口舌、去除我们的积怨；主啊！求您给我们扩展您的福分、慈悯、恩典和给养；主啊！求您赐予我们永恒不朽的天堂。</w:t>
      </w:r>
    </w:p>
    <w:p w:rsidR="00E300B0" w:rsidRPr="00B23B16" w:rsidRDefault="00E300B0" w:rsidP="00675037">
      <w:pPr>
        <w:shd w:val="clear" w:color="auto" w:fill="F8F8F8"/>
        <w:bidi w:val="0"/>
        <w:spacing w:before="100" w:beforeAutospacing="1" w:after="96" w:line="360" w:lineRule="auto"/>
        <w:ind w:firstLineChars="196" w:firstLine="708"/>
        <w:rPr>
          <w:rFonts w:ascii="Verdana" w:hAnsi="Verdana" w:cs="SimSun"/>
          <w:b/>
          <w:bCs/>
          <w:color w:val="333333"/>
          <w:sz w:val="36"/>
          <w:lang w:eastAsia="zh-CN"/>
        </w:rPr>
      </w:pPr>
      <w:r w:rsidRPr="00B23B16">
        <w:rPr>
          <w:rFonts w:ascii="Verdana" w:hAnsi="Verdana" w:cs="SimSun"/>
          <w:b/>
          <w:bCs/>
          <w:color w:val="333333"/>
          <w:sz w:val="36"/>
          <w:lang w:eastAsia="zh-CN"/>
        </w:rPr>
        <w:t>主啊！求您赐给我们的故乡和家园平安，纠正我们的伊玛目和领导者们；我们的主啊！求您饶恕我们和我们的先辈教胞，不要使我们对信主之人心怀怨恨，我们的主啊！您是至仁至慈的主。我们的主啊！求您赐予我们今世幸福和后世幸福，使我们免遭火狱之灾。</w:t>
      </w:r>
      <w:r w:rsidRPr="00B23B16">
        <w:rPr>
          <w:rFonts w:ascii="Verdana" w:hAnsi="Verdana" w:cs="SimSun"/>
          <w:b/>
          <w:bCs/>
          <w:color w:val="333333"/>
          <w:sz w:val="36"/>
          <w:lang w:eastAsia="zh-CN"/>
        </w:rPr>
        <w:t xml:space="preserve"> </w:t>
      </w:r>
    </w:p>
    <w:p w:rsidR="00474C9B" w:rsidRDefault="00E300B0" w:rsidP="00675037">
      <w:pPr>
        <w:shd w:val="clear" w:color="auto" w:fill="F8F8F8"/>
        <w:bidi w:val="0"/>
        <w:spacing w:before="100" w:beforeAutospacing="1" w:line="360" w:lineRule="auto"/>
        <w:ind w:firstLineChars="196" w:firstLine="708"/>
        <w:rPr>
          <w:lang w:eastAsia="zh-CN"/>
        </w:rPr>
      </w:pPr>
      <w:r w:rsidRPr="00B23B16">
        <w:rPr>
          <w:rFonts w:ascii="Verdana" w:hAnsi="Verdana" w:cs="SimSun"/>
          <w:b/>
          <w:bCs/>
          <w:color w:val="333333"/>
          <w:sz w:val="36"/>
          <w:lang w:eastAsia="zh-CN"/>
        </w:rPr>
        <w:t>最后的祈祷仍是赞颂</w:t>
      </w:r>
      <w:r w:rsidR="00A77DDF" w:rsidRPr="00B23B16">
        <w:rPr>
          <w:rFonts w:ascii="Verdana" w:hAnsi="Verdana" w:cs="SimSun"/>
          <w:b/>
          <w:bCs/>
          <w:color w:val="333333"/>
          <w:sz w:val="36"/>
          <w:lang w:eastAsia="zh-CN"/>
        </w:rPr>
        <w:t>安拉</w:t>
      </w:r>
      <w:r w:rsidRPr="00B23B16">
        <w:rPr>
          <w:rFonts w:ascii="Verdana" w:hAnsi="Verdana" w:cs="SimSun"/>
          <w:b/>
          <w:bCs/>
          <w:color w:val="333333"/>
          <w:sz w:val="36"/>
          <w:lang w:eastAsia="zh-CN"/>
        </w:rPr>
        <w:t>——</w:t>
      </w:r>
      <w:r w:rsidRPr="00B23B16">
        <w:rPr>
          <w:rFonts w:ascii="Verdana" w:hAnsi="Verdana" w:cs="SimSun"/>
          <w:b/>
          <w:bCs/>
          <w:color w:val="333333"/>
          <w:sz w:val="36"/>
          <w:lang w:eastAsia="zh-CN"/>
        </w:rPr>
        <w:t>万世之主！</w:t>
      </w:r>
    </w:p>
    <w:sectPr w:rsidR="00474C9B" w:rsidSect="00A77DDF">
      <w:footerReference w:type="even" r:id="rId12"/>
      <w:footerReference w:type="default" r:id="rId13"/>
      <w:footnotePr>
        <w:numFmt w:val="decimalEnclosedCircleChinese"/>
        <w:numRestart w:val="eachPage"/>
      </w:footnotePr>
      <w:pgSz w:w="11906" w:h="16838"/>
      <w:pgMar w:top="719" w:right="1416" w:bottom="899" w:left="1134"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18" w:rsidRDefault="00FD3618">
      <w:r>
        <w:separator/>
      </w:r>
    </w:p>
  </w:endnote>
  <w:endnote w:type="continuationSeparator" w:id="1">
    <w:p w:rsidR="00FD3618" w:rsidRDefault="00FD3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Liti">
    <w:altName w:val="华文隶书"/>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altName w:val="Times New Roman"/>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6B0D67" w:rsidP="007C2C4F">
    <w:pPr>
      <w:pStyle w:val="Footer"/>
      <w:framePr w:wrap="around" w:vAnchor="text" w:hAnchor="text" w:xAlign="center" w:y="1"/>
      <w:rPr>
        <w:rStyle w:val="PageNumber"/>
      </w:rPr>
    </w:pPr>
    <w:r>
      <w:rPr>
        <w:rStyle w:val="PageNumber"/>
        <w:rtl/>
      </w:rPr>
      <w:fldChar w:fldCharType="begin"/>
    </w:r>
    <w:r w:rsidR="00A958BC">
      <w:rPr>
        <w:rStyle w:val="PageNumber"/>
      </w:rPr>
      <w:instrText xml:space="preserve">PAGE  </w:instrText>
    </w:r>
    <w:r>
      <w:rPr>
        <w:rStyle w:val="PageNumber"/>
        <w:rtl/>
      </w:rPr>
      <w:fldChar w:fldCharType="end"/>
    </w:r>
  </w:p>
  <w:p w:rsidR="005C5331" w:rsidRDefault="00FD36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6B0D67">
        <w:pPr>
          <w:pStyle w:val="Footer"/>
          <w:jc w:val="center"/>
        </w:pPr>
        <w:r w:rsidRPr="006B0D67">
          <w:rPr>
            <w:color w:val="FFFFFF" w:themeColor="background1"/>
          </w:rPr>
        </w:r>
        <w:r w:rsidRPr="006B0D67">
          <w:rPr>
            <w:color w:val="FFFFFF" w:themeColor="background1"/>
          </w:rPr>
          <w:pict>
            <v:group id="_x0000_s2049" style="width:43.2pt;height:35.05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80665C" w:rsidRPr="0080665C" w:rsidRDefault="006B0D67">
                      <w:pPr>
                        <w:jc w:val="center"/>
                        <w:rPr>
                          <w:color w:val="FF0000"/>
                          <w:sz w:val="48"/>
                          <w:szCs w:val="48"/>
                          <w:lang w:eastAsia="zh-CN"/>
                        </w:rPr>
                      </w:pPr>
                      <w:r w:rsidRPr="0080665C">
                        <w:rPr>
                          <w:color w:val="FF0000"/>
                          <w:sz w:val="48"/>
                          <w:szCs w:val="48"/>
                          <w:lang w:eastAsia="zh-CN"/>
                        </w:rPr>
                        <w:fldChar w:fldCharType="begin"/>
                      </w:r>
                      <w:r w:rsidR="00A958B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396137" w:rsidRPr="00396137">
                        <w:rPr>
                          <w:b/>
                          <w:noProof/>
                          <w:color w:val="FF0000"/>
                          <w:sz w:val="48"/>
                          <w:szCs w:val="48"/>
                          <w:rtl/>
                          <w:lang w:val="zh-CN"/>
                        </w:rPr>
                        <w:t>3</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FD3618"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18" w:rsidRDefault="00FD3618">
      <w:r>
        <w:separator/>
      </w:r>
    </w:p>
  </w:footnote>
  <w:footnote w:type="continuationSeparator" w:id="1">
    <w:p w:rsidR="00FD3618" w:rsidRDefault="00FD3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0B0"/>
    <w:rsid w:val="0018658A"/>
    <w:rsid w:val="00396137"/>
    <w:rsid w:val="003E7AB6"/>
    <w:rsid w:val="00474C9B"/>
    <w:rsid w:val="00675037"/>
    <w:rsid w:val="006B0D67"/>
    <w:rsid w:val="009900CC"/>
    <w:rsid w:val="00A77DDF"/>
    <w:rsid w:val="00A958BC"/>
    <w:rsid w:val="00B23B16"/>
    <w:rsid w:val="00E300B0"/>
    <w:rsid w:val="00FD36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B0"/>
    <w:pPr>
      <w:bidi/>
    </w:pPr>
    <w:rPr>
      <w:rFonts w:ascii="Times New Roman" w:eastAsia="SimSun" w:hAnsi="Times New Roman" w:cs="Traditional Arabic"/>
      <w:color w:val="000000"/>
      <w:kern w:val="0"/>
      <w:sz w:val="2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00B0"/>
    <w:pPr>
      <w:tabs>
        <w:tab w:val="center" w:pos="4153"/>
        <w:tab w:val="right" w:pos="8306"/>
      </w:tabs>
    </w:pPr>
  </w:style>
  <w:style w:type="character" w:customStyle="1" w:styleId="FooterChar">
    <w:name w:val="Footer Char"/>
    <w:basedOn w:val="DefaultParagraphFont"/>
    <w:link w:val="Footer"/>
    <w:uiPriority w:val="99"/>
    <w:rsid w:val="00E300B0"/>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300B0"/>
  </w:style>
  <w:style w:type="paragraph" w:styleId="BalloonText">
    <w:name w:val="Balloon Text"/>
    <w:basedOn w:val="Normal"/>
    <w:link w:val="BalloonTextChar"/>
    <w:uiPriority w:val="99"/>
    <w:semiHidden/>
    <w:unhideWhenUsed/>
    <w:rsid w:val="00E300B0"/>
    <w:rPr>
      <w:sz w:val="18"/>
      <w:szCs w:val="18"/>
    </w:rPr>
  </w:style>
  <w:style w:type="character" w:customStyle="1" w:styleId="BalloonTextChar">
    <w:name w:val="Balloon Text Char"/>
    <w:basedOn w:val="DefaultParagraphFont"/>
    <w:link w:val="BalloonText"/>
    <w:uiPriority w:val="99"/>
    <w:semiHidden/>
    <w:rsid w:val="00E300B0"/>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semiHidden/>
    <w:unhideWhenUsed/>
    <w:rsid w:val="006750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75037"/>
    <w:rPr>
      <w:rFonts w:ascii="Times New Roman" w:eastAsia="SimSun" w:hAnsi="Times New Roman" w:cs="Traditional Arabic"/>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724824">
      <w:bodyDiv w:val="1"/>
      <w:marLeft w:val="0"/>
      <w:marRight w:val="0"/>
      <w:marTop w:val="0"/>
      <w:marBottom w:val="0"/>
      <w:divBdr>
        <w:top w:val="none" w:sz="0" w:space="0" w:color="auto"/>
        <w:left w:val="none" w:sz="0" w:space="0" w:color="auto"/>
        <w:bottom w:val="none" w:sz="0" w:space="0" w:color="auto"/>
        <w:right w:val="none" w:sz="0" w:space="0" w:color="auto"/>
      </w:divBdr>
      <w:divsChild>
        <w:div w:id="1486509827">
          <w:marLeft w:val="0"/>
          <w:marRight w:val="0"/>
          <w:marTop w:val="0"/>
          <w:marBottom w:val="160"/>
          <w:divBdr>
            <w:top w:val="none" w:sz="0" w:space="0" w:color="auto"/>
            <w:left w:val="none" w:sz="0" w:space="0" w:color="auto"/>
            <w:bottom w:val="none" w:sz="0" w:space="0" w:color="auto"/>
            <w:right w:val="none" w:sz="0" w:space="0" w:color="auto"/>
          </w:divBdr>
          <w:divsChild>
            <w:div w:id="1680355717">
              <w:marLeft w:val="0"/>
              <w:marRight w:val="0"/>
              <w:marTop w:val="0"/>
              <w:marBottom w:val="0"/>
              <w:divBdr>
                <w:top w:val="none" w:sz="0" w:space="0" w:color="auto"/>
                <w:left w:val="none" w:sz="0" w:space="0" w:color="auto"/>
                <w:bottom w:val="none" w:sz="0" w:space="0" w:color="auto"/>
                <w:right w:val="none" w:sz="0" w:space="0" w:color="auto"/>
              </w:divBdr>
              <w:divsChild>
                <w:div w:id="1234051113">
                  <w:marLeft w:val="0"/>
                  <w:marRight w:val="0"/>
                  <w:marTop w:val="0"/>
                  <w:marBottom w:val="0"/>
                  <w:divBdr>
                    <w:top w:val="single" w:sz="6" w:space="0" w:color="D8D8D8"/>
                    <w:left w:val="single" w:sz="6" w:space="0" w:color="D8D8D8"/>
                    <w:bottom w:val="single" w:sz="6" w:space="8" w:color="D8D8D8"/>
                    <w:right w:val="single" w:sz="6" w:space="0" w:color="D8D8D8"/>
                  </w:divBdr>
                  <w:divsChild>
                    <w:div w:id="964459077">
                      <w:marLeft w:val="0"/>
                      <w:marRight w:val="0"/>
                      <w:marTop w:val="0"/>
                      <w:marBottom w:val="0"/>
                      <w:divBdr>
                        <w:top w:val="none" w:sz="0" w:space="0" w:color="auto"/>
                        <w:left w:val="none" w:sz="0" w:space="0" w:color="auto"/>
                        <w:bottom w:val="none" w:sz="0" w:space="0" w:color="auto"/>
                        <w:right w:val="none" w:sz="0" w:space="0" w:color="auto"/>
                      </w:divBdr>
                      <w:divsChild>
                        <w:div w:id="1406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orislam.com/batch.download.php?aid=709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1884</Words>
  <Characters>1961</Characters>
  <Application>Microsoft Office Word</Application>
  <DocSecurity>0</DocSecurity>
  <Lines>103</Lines>
  <Paragraphs>49</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3796</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人人易得其天分</dc:title>
  <dc:subject>人人易得其天分</dc:subject>
  <dc:creator>liu</dc:creator>
  <cp:keywords>人人易得其天分</cp:keywords>
  <dc:description>人人易得其天分</dc:description>
  <cp:lastModifiedBy>HP</cp:lastModifiedBy>
  <cp:revision>4</cp:revision>
  <dcterms:created xsi:type="dcterms:W3CDTF">2014-12-27T20:10:00Z</dcterms:created>
  <dcterms:modified xsi:type="dcterms:W3CDTF">2015-01-27T13:15:00Z</dcterms:modified>
  <cp:category/>
</cp:coreProperties>
</file>