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78" w:rsidRPr="00035EBD" w:rsidRDefault="00C05378" w:rsidP="00C05378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05378" w:rsidRPr="00830374" w:rsidRDefault="00333205" w:rsidP="00C05378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FZShuTi" w:eastAsia="FZShuTi" w:hAnsi="Helvetica" w:cs="SimSun"/>
          <w:b/>
          <w:bCs/>
          <w:color w:val="800000"/>
          <w:sz w:val="72"/>
          <w:szCs w:val="72"/>
          <w:lang w:eastAsia="zh-CN"/>
        </w:rPr>
      </w:pPr>
      <w:r w:rsidRPr="00830374">
        <w:rPr>
          <w:rFonts w:ascii="FZShuTi" w:eastAsia="FZShuTi" w:hAnsi="Helvetica" w:cs="SimSun" w:hint="eastAsia"/>
          <w:b/>
          <w:bCs/>
          <w:color w:val="800000"/>
          <w:sz w:val="72"/>
          <w:szCs w:val="72"/>
          <w:lang w:eastAsia="zh-CN"/>
        </w:rPr>
        <w:t>赶紧做讨白（忏悔）吧</w:t>
      </w:r>
    </w:p>
    <w:p w:rsidR="00C05378" w:rsidRDefault="00C05378" w:rsidP="00C0537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C05378" w:rsidRDefault="00C05378" w:rsidP="00C0537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C05378" w:rsidRPr="00830374" w:rsidRDefault="00F5302B" w:rsidP="00C05378">
      <w:pPr>
        <w:bidi w:val="0"/>
        <w:spacing w:beforeLines="50"/>
        <w:jc w:val="center"/>
        <w:rPr>
          <w:rFonts w:ascii="Courier New" w:eastAsiaTheme="minorEastAsia" w:hAnsi="Courier New" w:cs="KFGQPC Uthman Taha Naskh"/>
          <w:b/>
          <w:bCs/>
          <w:color w:val="auto"/>
          <w:sz w:val="52"/>
          <w:szCs w:val="52"/>
          <w:rtl/>
          <w:lang w:eastAsia="zh-CN"/>
        </w:rPr>
      </w:pPr>
      <w:r w:rsidRPr="00830374">
        <w:rPr>
          <w:rFonts w:ascii="Courier New" w:eastAsiaTheme="minorEastAsia" w:hAnsi="Courier New" w:cs="KFGQPC Uthman Taha Naskh" w:hint="cs"/>
          <w:b/>
          <w:bCs/>
          <w:color w:val="auto"/>
          <w:sz w:val="52"/>
          <w:szCs w:val="52"/>
          <w:rtl/>
          <w:lang w:eastAsia="zh-CN"/>
        </w:rPr>
        <w:t xml:space="preserve">سارعوا في التوبة </w:t>
      </w:r>
    </w:p>
    <w:p w:rsidR="00333205" w:rsidRDefault="00333205" w:rsidP="00333205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C05378" w:rsidRPr="00962983" w:rsidRDefault="00C05378" w:rsidP="00C05378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C05378" w:rsidRDefault="00C05378" w:rsidP="00C0537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C05378" w:rsidRPr="0080665C" w:rsidRDefault="00C05378" w:rsidP="00C0537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C05378" w:rsidRDefault="00333205" w:rsidP="00C0537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t>来源：伊斯兰之光</w:t>
      </w:r>
    </w:p>
    <w:p w:rsidR="00333205" w:rsidRDefault="00333205" w:rsidP="0033320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المصادر : موقع نور الإسلام </w:t>
      </w:r>
    </w:p>
    <w:p w:rsidR="00C05378" w:rsidRDefault="00C05378" w:rsidP="00C0537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C05378" w:rsidRDefault="00C05378" w:rsidP="00C0537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C05378" w:rsidRDefault="00C05378" w:rsidP="00C0537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C05378" w:rsidRDefault="00C05378" w:rsidP="00C0537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C05378" w:rsidRDefault="00C05378" w:rsidP="00C05378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C05378" w:rsidRDefault="00C05378" w:rsidP="00C05378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C05378" w:rsidRDefault="00C05378" w:rsidP="00C05378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C05378" w:rsidRDefault="00C05378" w:rsidP="00C05378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C05378" w:rsidRDefault="00C05378" w:rsidP="00C05378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C05378" w:rsidRPr="0080665C" w:rsidRDefault="00C05378" w:rsidP="00C05378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C05378" w:rsidRPr="0080665C" w:rsidRDefault="00C05378" w:rsidP="00C05378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C05378" w:rsidRPr="00EA6D56" w:rsidRDefault="00C05378" w:rsidP="00C05378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C05378" w:rsidRDefault="00C05378" w:rsidP="00C0537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C05378" w:rsidRDefault="00C05378" w:rsidP="00C0537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C05378" w:rsidRPr="0007149E" w:rsidRDefault="00C05378" w:rsidP="00C05378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C05378" w:rsidRPr="00962983" w:rsidRDefault="00C05378" w:rsidP="00C05378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C05378" w:rsidRPr="00962983" w:rsidRDefault="00C05378" w:rsidP="00C05378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C05378" w:rsidRDefault="00C05378" w:rsidP="0083037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3037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C05378" w:rsidRDefault="00C05378" w:rsidP="00C05378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78" w:rsidRPr="00A60587" w:rsidRDefault="00C05378" w:rsidP="00C05378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78" w:rsidRDefault="00C05378" w:rsidP="00C0537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rtl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333205" w:rsidRDefault="00333205" w:rsidP="00C0537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333205" w:rsidRPr="00333205" w:rsidRDefault="00333205" w:rsidP="00333205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</w:pPr>
      <w:bookmarkStart w:id="0" w:name="_GoBack"/>
      <w:r w:rsidRPr="00333205">
        <w:rPr>
          <w:rFonts w:ascii="STLiti" w:eastAsia="STLiti" w:hAnsi="Helvetica" w:cs="SimSun" w:hint="eastAsia"/>
          <w:b/>
          <w:bCs/>
          <w:color w:val="0070C0"/>
          <w:sz w:val="52"/>
          <w:szCs w:val="52"/>
          <w:lang w:eastAsia="zh-CN"/>
        </w:rPr>
        <w:t>赶紧做讨白（忏悔）吧</w:t>
      </w:r>
    </w:p>
    <w:bookmarkEnd w:id="0"/>
    <w:p w:rsidR="00F506B2" w:rsidRPr="00F506B2" w:rsidRDefault="00F506B2" w:rsidP="00333205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6045200" cy="3718560"/>
            <wp:effectExtent l="0" t="0" r="0" b="0"/>
            <wp:docPr id="1" name="图片 2" descr="http://www.norislam.com/attachments/2012/11/9_20121130151734166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2/11/9_20121130151734166Wy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穆斯林兄弟姐妹们啊！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我们已经在第一讲中谈到人类在宇宙中的重要性。安拉造化人类，以便人类认识主宰与崇拜主宰：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我创造了精灵与人类，以便他们崇拜我。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播种者章第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56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我们必须讲人的重要性和人的目的。同时，还要讲人最容易疏忽的一种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尔巴代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（功修），而功修又分内外两种。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外在的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尔巴代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（功修）如礼拜、斋戒、天课与朝觐，此为伊斯兰行为方面的几大支柱。但这里还有另外的一些功修，它同等重要与必须，因为外在功修的成与坏，全凭内在功修的支撑，内在功修的基础是人的心，心乃人之本：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注意，人身体上有一块肉，当这块肉好了，那全身皆好；当这块肉坏了，那全身皆坏，须知，它就是人的心。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SimSun" w:hAnsi="SimSun" w:cs="SimSun"/>
          <w:b/>
          <w:bCs/>
          <w:color w:val="333333"/>
          <w:sz w:val="36"/>
          <w:lang w:eastAsia="zh-CN"/>
        </w:rPr>
        <w:t>①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安拉不会观看你们的身体，以及你们的形象，但安拉要看你们的心。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SimSun" w:hAnsi="SimSun" w:cs="SimSun"/>
          <w:b/>
          <w:bCs/>
          <w:color w:val="333333"/>
          <w:sz w:val="36"/>
          <w:lang w:eastAsia="zh-CN"/>
        </w:rPr>
        <w:t>②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人的心是安拉观看的位置，在复生日，心若得救，就必须提供证据。所以，心是你的依靠，它将证明你是否清白，并肯定你的信仰是否正确，正如安拉所讲：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在那财产和子孙都无稗益的那一天，惟带着一颗纯洁的心采见安拉的人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得其裨益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众诗人章第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88-89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这是你们所被应许的，这是赏赐每个归依的守礼者的。秘密敬畏至仁主，且带着归依的心而来的人。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嘎弗章第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32-33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纯洁的心和归依的心是宗教信仰的真正基础。心是你所有外在工作的支柱，如果你的心充满欺诈，或有沽名钓誉之嫌，不是纯粹为主，那么，你的工作绝不被接纳，安拉说：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他们只奉命崇拜安拉，虔诚敬意，恪守正教。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明证章第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如主意欲，我们今后将专题论述意念与虔诚之实质，意念与虔诚同样是一切工作被接纳的基础。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但是，今天我们主要讲述心之功修的重要性，它是迈向安拉的第一步，这一步被称之谓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（忏悔）。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当你的身上背着沉重的负担，已经不能向前迈进时，你的心怎能回归清高的安拉呢？这时，你必须减负，要放下你肩上的罪恶。如何减轻罪恶？只有走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之路。何谓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？这个单词派生于动词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塔拜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，阿拉伯语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塔拜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具有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返回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或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回归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等含义。其根本的含义是永远与安拉在一起，不分不离。你怎样能够分离他呢？你的存在依靠着他的存在，你的生命、给养、得道以及你所有的善皆是来自安拉，他说：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你们的一切恩典皆是来自安拉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…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蜜蜂章第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53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假若没有安拉，你又在哪里？人啊！你左右摇摆，你在大地上狂妄地行走，不理不睬，呲牙咧嘴；假若没有安拉，你到底是什么？安拉创造了你，使你健全，并把他的精神注入你的体内。他赐你力量，为你制服宇宙万物；赋予你理性，教你知识，引你走正道，你怎能悖逆你的主呢？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安拉赐予你一切恩典，没有安拉，你微不足道，不值一提。因此，人应该经常与安拉在一起，与安拉保持联系。如果某人因犯罪或疏忽大意，而远离了他的主，那他必须回家，回到他真正的老家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——“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使人回归安拉，回到根本。安拉把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的权利赏赐给我们，所有阿丹的子民都会犯错，最好的犯错者是做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的人和求得安拉饶恕的人。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阿丹的子民犯罪并不奇怪，这是人之本性。因为人是混合型的被造物，他有泥土的成分，也有精神的注入。泥土使之堕落至低谷，精神带他升至天堂；有时候，人完全显示出泥土的本性，然后，他便堕落至牲畜一样，甚至比牲畜更加迷误；有时候，人之本性上升到最高处，然后，他就像天仙一样，甚至到达更高的品级。有时候，泥土的（本性）强过精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神的（本性），或大地的元素胜过天上的元素，或兽性的元素高过天启的人性，这样一来，罪恶的产生就毫不奇怪了。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错误的产生不足为奇，人类的始祖阿丹确是犯了错，是人类所犯的第一件错。恶魔怂恿了他，使他陷入迷途，而恶魔以欺诈的手段引诱了阿丹，恶魔还向阿丹的妻子发誓：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我确是忠于你俩的。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 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高处章第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21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又说：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恶魔引诱他说：，阿丹啊！我指示你长生树和不朽园好吗？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塔哈章第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120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恶魔不断地教唆着阿丹，阿丹也就相信了他，吃了禁果，安拉说：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阿丹违背了他的主，因而迷误了。而后，他的主挑选了他，饶恕了他，引导了他。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塔哈章第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121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这就是伊斯兰与基督教之间的一大区别。基督教认为亚当（阿丹）的错牵连着所有人的错，所以，这些人背负着他们没有干的过，也没有看见过的罪而生活，况且，这些罪不是他们的，也不是他们的父辈、祖辈的祖辈犯下的罪。与此同时，《古兰经》与穆萨的经典都体现着主的公道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和履行诫命伊布拉欣的经典中所记载的事情吗？一个负罪者，不负别人的罪。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星宿章第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37-38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一个人怎么能承担别人的罪呢？阿丹的错误以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宣告结束，安拉选拔了他，准承了他的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，给他指明了道路，此时的阿丹意识到恶魔的欺骗，即使他陷入犯错的困境之中，但是阿丹内心那天然的本性马上警觉，它就是安拉为人注入的精神：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当我把他塑成，而且把我的精神吹入他的塑像的时候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……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石谷章第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29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天启的元素占了上风，他迅速地归向他的主，叩响了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之门，并向他的主求饶，阿丹和他的妻子说：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他俩说：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我们的主啊！我们已自欺了，如果你不赦宥我们，不慈悯我们，我们必定变成亏折者。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高处章第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23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然后，阿丹奉到从主降示的几件诫命，主就恕宥了他，主确是至宥的，确是至慈的。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 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黄牛章第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37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阿丹的罪以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而宣告终结，而阿丹子孙犯的罪也应该宣告结束。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人类犯错并非奇怪之事，因为他的祖先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阿丹曾经也犯过错。但是，令人费解的是那些坚持干罪，死不悔改的人，他忘记了安拉，忘记向主悔罪（讨白）。然后，他的罪恶堆积如山，不断积累，继而使他的心变黑，（求主庇护），这太严重了！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更为严重的是，人没有及时地向安拉做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。先知（愿主福安之）说：</w:t>
      </w:r>
      <w:r w:rsidRPr="00333205">
        <w:rPr>
          <w:rFonts w:ascii="SimSun" w:hAnsi="SimSun" w:cs="SimSun" w:hint="eastAsia"/>
          <w:b/>
          <w:bCs/>
          <w:color w:val="333333"/>
          <w:sz w:val="36"/>
          <w:lang w:eastAsia="zh-CN"/>
        </w:rPr>
        <w:t>③</w:t>
      </w:r>
      <w:r w:rsidRPr="00333205">
        <w:rPr>
          <w:rFonts w:ascii="Verdana" w:hAnsi="Verdana" w:cs="Verdana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某人如果犯了错，他心中就会被涂上一个黑点，然后，他戒除与求饶，他的心就被擦亮了。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即：抹掉、擦亮与清除罪恶的痕迹，心就变得如同明镜一样亮。（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如果他重新再犯，他的心就生锈了。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）即：如果他变本加历，重复犯罪，那么，他心中的黑点就越来越多，以至于蒙蔽了他们的心，因此，安拉在《古兰经》中提到了心中的锈：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绝不然！但他们所犯的罪，已象锈一样蒙蔽了他们的心。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称量不公章第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14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伊玛目苏尤退在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贾米尔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甩诶勒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中传述了该段圣训，并使之成为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确凿圣训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。这段圣训的原文是：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如果某人做错了一件事，那么，他的心就被涂上一个黑点；如果他戒除，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求饶或忏悔，那么，他的心就会被擦亮；如果他重新再犯，并变本加历，那么，他的心就是《古兰经》所提到的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锈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人类疏忽了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，走上了恶魔的道路，而他自己并不感觉这是犯错与罪恶，这太危险了！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这种危险来源于人的妄想，而妄想的真正意图是不想死亡，但他万万没有想到死亡就在面前，死亡并不遥远，寿限所剩无几。二十岁的人说，我三十岁再做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；三十岁的人说，我四十岁再做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；四十岁的人说，我五十岁再做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；五十岁的人说，我六十岁再做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；六十岁的人说，我八十岁再做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，这就是人们的真实情况。</w:t>
      </w:r>
      <w:r w:rsidRPr="00333205">
        <w:rPr>
          <w:rFonts w:ascii="SimSun" w:hAnsi="SimSun" w:cs="SimSun"/>
          <w:b/>
          <w:bCs/>
          <w:color w:val="333333"/>
          <w:sz w:val="36"/>
          <w:lang w:eastAsia="zh-CN"/>
        </w:rPr>
        <w:t>④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人类就这样不断地延长自己的妄想，但他不知道死亡对一个人来说只是一瞬间的事，因为死亡近在咫尺，它犹如一个人的鞋带一样。当你在早晨的时候，你是否知道死亡将在晚上降临呢？圣训讲：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如果你在早上，你就不要谈论你的晚上；如果你在晚上，你就不要谈论你的早上。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当你睡觉的时候，你是否知道自己能再次醒来呢？当你穿衣的时候，你是否知道自己能否将它脱下吗？是你的手还是洗亡人的手，帮你脱下的呢？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当你从家出去的时候，你是否知道，你的下一步将迈向哪里？是在路上继续行走，还是迈向坟墓呢？难道你没有看见那些心跳突然停止而死亡的人吗？难道你没有看见那些猝死的人吗？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在这个时代，人们因突发事件而死亡的事屡见不鲜，甚至有的死亡与突发事件毫无任何关系，但他却因此而丧命。比如你在路上行走，飞速而来的汽车将你撞死；那天上的飞机正好坠毁在你的乡村，而村民们并不是飞机上的乘客，死亡就是这样降临的。难道你们没有听见吗？死亡降临了！死亡降临了！拷问啊！归宿的拷问！要么，归向天堂；要么，被扔进火狱。金银财宝统统无用（祈求安拉庇护），这是一个危险的信号，我们如何面对？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火狱中大多数是那些爱拖延时间的人。你们是否知道什么叫拖延时间的人？即那些人，他们经常爱说：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我将要做讨白，我将要行善，我将要回归（正道），我将要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…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赛乃弗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人说：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将要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…”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，是伊布利斯（恶魔）军队中的一支军队，因为你不能保证自己能否活到明天，你不能为自己的寿命保证一个小时。当取命天仙来取人之寿命时，他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还能希望延缓吗？哪怕是很短的时间，如一周，或一天，或半天，或一小时或一分钟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……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，这真是痴人做梦啊！安拉说：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信仰的人们啊！你们的财产和子女，不要使你们忽略了记念主。谁那么做，谁是亏折的，在死亡降临之前，你们当分舍我赐予你们的，否则，将来人人说：我的主啊！你为何不让我延迟到一个临近的定期，以便我有所施舍，而成为善人呢？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伪信者章第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9-10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即：你为何不把我们推迟到一个临近的期限，再宽限几分钟，以便能够施舍一部分钱财，做一些善事，帮助被亏之人，以德抱怨等，他想要几分钟来做这些事。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你面前有几分钟，有几小时，有几天，有几周，有几月或几年，这些时间都不够，现在你说：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主啊！你为何不把我延迟到一个临近的期限，以便我有所施舍，而成为善人。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伪信者章第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10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这里，安拉马上反驳了他们这种无理请求，安拉说：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当寿限一到，安拉决不让任何人延迟，安拉是彻知你们的行为的。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伪信者章第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11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奢望与不知道死亡是人的最大危害，他延迟与推拖做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的时间，有一天，死亡突然造访他，他却不知所措，也没有为后世准备礼物。赶紧吧！在罪恶变得严重之前，赶紧吧！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有些病，如果起初治疗，那么，它就比较容易。如果你弃置不顾，它就会越来越重，变得不好治疗。罪也如此，每当他犯罪，他应悔罪，应赶紧做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，否则的话，他变得不义，正如安拉所说：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没有悔罪的人，这等人是不义之人。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寝室章第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11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是对全人类的要求，安拉说：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众信士啊！你们当全体向安拉悔罪，以便你们成功。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光明章第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31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信士们啊！你们当向安拉诚意悔罪。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禁戒章第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8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信士也要做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，任何人都不敢说：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我没有罪，或为什么要悔罪？我是白纸一张，是完人。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这是一种狂妄的话，信士不应该说这样的话，信士永远要认识到自己对安拉义务的欠缺与不足。他务必要多多行善，务必要担心自己的行为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没有被安拉接纳。至于伪信士，他胡作非为，作恶多端，而他还希望安拉的饶恕！这是信士与非信士之间的区别，信士经常感觉到自己的不足与怠慢安拉的命令，而且，信士的一切行为皆是为了寻求安拉的喜悦与恩泽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的分类：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有从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什勒克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（以物配主）方面做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的人，安拉说：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你告诉不信道的人，如果他们停止战争，那么，他们以往的罪恶将蒙赦宥；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战利品章第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38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有从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尼法格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（伪信）方面做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的人，正如安拉讲到一伙伪信士时说：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如果他们悔过，那对他们是更有益的；如果他们背弃，安拉就要在今世和后世使他们遭受痛苦的刑罚，他们在大地上没有任何的保护者，也没有任何援助者。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忏悔章第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74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有从大罪上做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的人，</w:t>
      </w:r>
      <w:r w:rsidRPr="00333205">
        <w:rPr>
          <w:rFonts w:ascii="SimSun" w:hAnsi="SimSun" w:cs="SimSun" w:hint="eastAsia"/>
          <w:b/>
          <w:bCs/>
          <w:color w:val="333333"/>
          <w:sz w:val="36"/>
          <w:lang w:eastAsia="zh-CN"/>
        </w:rPr>
        <w:t>⑤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如饮酒、奸淫、吸毒、利息、侵吞孤儿的钱财、伪证、忤逆父母、断绝近亲骨肉，以及圣训提到的所有大罪。消除大罪的惟一方法就是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，而那些小罪则可以用善功来加以清除，如每天五次礼拜、每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周主麻，每年斋月等。这些功修皆能清除之间所犯的错误，其条件是远离大罪，</w:t>
      </w:r>
      <w:r w:rsidRPr="00333205">
        <w:rPr>
          <w:rFonts w:ascii="SimSun" w:hAnsi="SimSun" w:cs="SimSun" w:hint="eastAsia"/>
          <w:b/>
          <w:bCs/>
          <w:color w:val="333333"/>
          <w:sz w:val="36"/>
          <w:lang w:eastAsia="zh-CN"/>
        </w:rPr>
        <w:t>⑥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而大罪只有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才能将其清除。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有从大罪上做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的，也有从小罪上做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的。非法就是非法，尽管它小也罢！有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赛乃弗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前辈曾说：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你不要把罪看成是小的，但是，你看看你违抗的对象（指安拉）的伟大。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如果你以某句话伤害了你的同学，这句话看似简单，如果你用同样的话去伤害你的父亲，或你的长辈，这就是妄自尊大，目中无人，毫无礼貌。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同样，我们看见某一件事情变得严重了，这是对人而言；如果你伤害到伟大的安拉，（那情况又是如何呢？）布哈里传自伊本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买斯欧德：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信士看见他的罪，就好像他坐在山脚之下，他害怕山上的石头砸到他；犯罪的人视己之罪，如同苍蝇飞过他的鼻子。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此为信士的情形，他们不会轻视任何一件罪，而且他们加倍提防那些小错误的发生，并对罪恶嗤之以鼻。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赛乃弗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曾说：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害怕自己的罪不被饶恕，而那些犯罪的人还说：我犯的罪乃微不足道。这是一种错误的说法。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有廉洁之士去探望他们的一位兄弟，他们发现这位兄弟生病了，并且，他痛哭流涕。他们对他说：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你为什么这么伤心啊？我们没有看见你干过什么大罪，你也没有丢撇（安拉）的主命啊。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他说：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以安拉发誓，我不是为此而伤心的，我害怕我曾经犯下的罪，我自认为微不足道，而它可能在安拉面前是巨大的。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《古兰经》曾谈到那些冤枉圣妻阿依莎（愿安拉喜悦她）的人，这些人想当然地背谈圣妻阿依莎，但是，安拉洗掉了圣妻的清白：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当时，你们道听途说，无知而妄言，你们以为这是一件小事；在安拉看来，确是一件大事。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光明章第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15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有时候，人们总是无意地说出某句话，但是，圣训严厉警告我们。穆圣说：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（这一句话）使他坠入火狱七十年。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SimSun" w:hAnsi="SimSun" w:cs="SimSun" w:hint="eastAsia"/>
          <w:b/>
          <w:bCs/>
          <w:color w:val="333333"/>
          <w:sz w:val="36"/>
          <w:lang w:eastAsia="zh-CN"/>
        </w:rPr>
        <w:t>⑦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究其原因，就是因为他那一句无意之言。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有人传自阿依莎（愿安拉喜悦她），她曾在先知面前谈论先知的某位妻子，她说：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是什么原因使你羡慕她，而她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……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（阿依莎用手比划了一下，其意思是说，该女人的个子矮小），她的话并没有讲完，这个句子也不完整，但是，先知说：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假若我用你这句话与海水搅拌在一起的话，</w:t>
      </w:r>
      <w:r w:rsidRPr="00333205">
        <w:rPr>
          <w:rFonts w:ascii="SimSun" w:hAnsi="SimSun" w:cs="SimSun" w:hint="eastAsia"/>
          <w:b/>
          <w:bCs/>
          <w:color w:val="333333"/>
          <w:sz w:val="36"/>
          <w:lang w:eastAsia="zh-CN"/>
        </w:rPr>
        <w:t>⑧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那么，这句话足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已使海水变味与变臭。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有人从有嫌疑的事物上做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，因为嫌疑可导致非法，穆圣（愿主福安之）讲：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谁陷入嫌疑，就会陷人非法。这就好比牧羊人在禁区周边放牧，他几乎要闯入禁区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…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SimSun" w:hAnsi="SimSun" w:cs="SimSun"/>
          <w:b/>
          <w:bCs/>
          <w:color w:val="333333"/>
          <w:sz w:val="36"/>
          <w:lang w:eastAsia="zh-CN"/>
        </w:rPr>
        <w:t>⑨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有人从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可憎的事物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方面向安拉做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；甚至有一些无法避免的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可憎之事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有人从一些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许可的事物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方面向安拉做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；这是因为人有许多层次，即善人的善，以及那些被眷顾者的错。</w:t>
      </w:r>
      <w:r w:rsidRPr="00333205">
        <w:rPr>
          <w:rFonts w:ascii="SimSun" w:hAnsi="SimSun" w:cs="SimSun"/>
          <w:b/>
          <w:bCs/>
          <w:color w:val="333333"/>
          <w:sz w:val="36"/>
          <w:lang w:eastAsia="zh-CN"/>
        </w:rPr>
        <w:t>⑩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有人从疏忽记念安拉方面做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，他们认为，在生命中的某个时间段内，他们有可能忘记安拉，然后，他们因此向安拉做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和求饶恕。这种方式也是先知告诉我们的，他说：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众人啊！你们当向安拉做讨白，我每天向安拉做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一百次。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无论一早一晚，或一动一静，或白天与晚上，或独处与当众，我们的先知都要向他的主检查，他从不疏忽记念安拉，哪怕是一瞬间也罢！你看他的眼睛在睡觉，而他的心却是醒的，尽管如此，他还说：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你们向安拉做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吧！我每天向安拉做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一百次。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有一部分圣门弟子曾讲到：我们在一个地方曾统计过先知的一句话，这一句话曾达到七十次，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或一百次之多，它就是：主啊！你饶恕我，你接纳我的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，你是接纳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的主，是多恕的主。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有人传述，求饶的最佳时期是早晚，或在黎明与叩头的时候，先知就是如此而做的。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他说，求饶词之首是：主啊！你是我的养主，除你之外，没有任何主宰，你创造了我，我是你的仆人，我竭尽全力地履行约言</w:t>
      </w:r>
      <w:r w:rsidRPr="00333205">
        <w:rPr>
          <w:rFonts w:ascii="SimSun" w:hAnsi="SimSun" w:cs="SimSun" w:hint="eastAsia"/>
          <w:b/>
          <w:bCs/>
          <w:color w:val="333333"/>
          <w:sz w:val="36"/>
          <w:lang w:eastAsia="zh-CN"/>
        </w:rPr>
        <w:t>⑩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，我求你保护我曾犯下的错，凭你对我的恩泽，我带着罪回归你，求你恕饶我吧！除你之外，没人能恕饶罪。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这是最佳的求恕之形式与内容。</w:t>
      </w:r>
      <w:r w:rsidRPr="00333205">
        <w:rPr>
          <w:rFonts w:ascii="SimSun" w:hAnsi="SimSun" w:cs="SimSun"/>
          <w:b/>
          <w:bCs/>
          <w:color w:val="333333"/>
          <w:sz w:val="36"/>
          <w:lang w:eastAsia="zh-CN"/>
        </w:rPr>
        <w:t>⑾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穆圣（愿主福安之）的祈祷与求恕词是：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主啊！求你饶恕我的过错，我的无知，我对事情的漫不经心，你深知我的一切；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主啊！求你饶恕我的极端，我的玩笑，以及我有意和无意的过错；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主啊！求你饶恕我以前的和以后的，明显的和隐微的错；你深知我的一切，你是前无始，后无终的主，你确是能于万事。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这就意识到了安拉的伟大与尊严。人应该多多地向安拉祈祷，尤其是我们享受着安拉无以计数的恩泽。穆圣（愿主福安之）是我们最好的典范，连他自己都意识到对安拉命令的欠缺，更何况我们呢？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分几个层次。《古兰经》提到驻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阿拉法特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山的人，以及朝觐的人，在驻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阿拉法特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这个伟大的地方之后，安拉命令他们向他求饶，信士在做完功修之后，总是要向安拉求饶，你们看一下这段《古兰经》：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你们从阿拉法特结对而行的时候，当在禁标附近记念安拉，你们当记念他，因为他曾教导你们，从前你们确实迷误的。然后，你们从众人结对而行的地方结对而行，你们当向安拉求饶，安拉确是至赦的，确是至慈的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黄牛章第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198-199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在驻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阿拉法特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山与在这个伟大的禁标之后，安拉要求他们向安拉求饶。同样，安拉在《古兰经》中描述了行善且又敬畏的信士：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他们在夜间只稍微睡一下，他们在黎明时向主求饶。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播种者章第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17-18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哈桑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巴士拉说：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他们把拜功延迟到黎明时，然后，他们坐下来向伟大的安拉求饶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！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这等人在夜间醒来，他们只稍稍一睡，然后向安拉求饶，他们堪称人中精英，但是，他们依然感到自己的不足，以及对安拉命令的欠缺或怠慢。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分几个层次，每一个人根据自己的层次来向安拉忏悔。至于我们，则应从各方面来做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，尤其是大罪或小罪，或从怠慢安拉的主命与人的权利方面做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我们永远不要延缓做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的时间，因为我们不知道，伟大的安拉在明天为我们安排的是什么？安拉说：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而任何人都不知道自己明日将要做什么事，任何人都不知道自己将死在什么地方。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鲁格曼章第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34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赶紧吧！赶紧吧！在死亡降临我们之前，赶紧做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讨白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吧！想拖延，绝不要拖延：想怠慢，绝不要怠慢！安拉说：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安拉的定期一旦来临的时候，是绝不延迟的，假若你们知道。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”——[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努哈章第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节</w:t>
      </w: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]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t>我以上所述，我祈求安拉饶恕我和你们，你们向他祈求饶恕吧！他确是宽恕的与仁慈的主；你们向他祈求吧！他会应答你们的。</w:t>
      </w:r>
    </w:p>
    <w:p w:rsidR="00F506B2" w:rsidRPr="00333205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333205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——————————————————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注释：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①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：此段圣训是努尔曼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拜西尔圣训中的一部分，它是布、穆圣训共同辑录的。圣训的前半部是：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合法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（事物）是明显的，非法（事物）也是明显的。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它是脑威四十段圣训中的第六段。参阅《知识与哲理集粹》一书，谢赫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格尔塔达所著《台勒恩布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台勒嘿布》文摘一书，第二册，第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506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页，第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966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段圣训。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②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：穆斯林传自艾布，胡莱勒的圣训，摘自（台勒恩布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台勒嘿布）文摘，第一册，第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103-104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页，第七段圣训。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③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：铁米济传自艾布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胡莱勒的圣训，他说：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此段圣训是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‘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独立可行的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’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，又是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‘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确凿圣训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”’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。奈萨伊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伊本，马哲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伊本，哈巴奈在其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确凿圣训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中传述，哈肯说：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确凿圣训是按照穆斯林圣训的条件而确定的。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宰亥比赞同此观点。《台勒恩布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台勒黑布》之文摘，第一册，第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470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页，第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908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段圣训。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④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：伊玛目安萨里在《圣学复苏》一书中，对此问题有详论。他说：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人是在痴迷虚假的妄想之中，他永远希望符合自己的意图。他不断地幻想，构想自己的未来，及所需之物，如钱财、妻室、住宅、朋友、车马和今世的各种因素。然后，他的心思就在这一方面，最终，他疏忽了死亡的来临。他没有估计到死亡是如此的临近，他只是偶尔想起死亡，也想做一些准备。但是，他总是拖延，并对自己承诺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有的是时间，到岁数大一点再做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‘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讨白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；当他年龄大一点的时候，他说：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到老的时候再说吧！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；当他到老的时候，他说：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等把房子修好，庄园打理好，或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lastRenderedPageBreak/>
        <w:t>旅行归来，或把儿女的事安排好，如修房置物，或把曾经伤害过他的人制服等。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他就这样不断地拖延时间，忙碌工作，他日复一日地重复着他的工作，直到在他意识不到的时间里，死亡突然降临。（《圣训复苏》第四册，第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406-407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页）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——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贝鲁特达鲁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麦尔勒非印刷。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⑤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：关于确定大罪的范围，在（学者）们之间产生了很大的分歧，最为侧重的主张是：凡是安拉在今世中所规定的非法界限，或者在后世能引发强烈的警告，都被列为大罪的范围。请参阅谢赫的《台勒恩布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台勒黑布》文摘一书，第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358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段圣训。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⑥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：穆斯林及其它人由艾布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胡莱勒传述了此段圣训，安拉的使者曾说：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五番拜，一个主麻到一个主麻，一个斋月到下一个斋月，是清除它们之间的错误，其条件是远离大罪。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⑦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：铁米济与伊本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马哲传述：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一个人说了一句自认为无所谓的话，但这句话却使他坠入火狱七十春秋。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哈肯传来，并使此段圣训成为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确凿型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圣训。参阅（台勒恩布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台勒黑布）文摘，第二册，第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749-750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1734-1736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段圣训。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⑧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：艾布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达吾德、铁米济与拜亥吉传述，铁米济说：它是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独立可行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的，也是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确凿的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圣训。《台勒恩布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台勒黑布》文摘，第二册，第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742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节，第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1406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段圣训。伊玛目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脑威在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祷词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中也传来，他说：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我搅拌。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既相互参合，因为这句话的臭，海水的滋味与气味都发生了变化。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此段圣训非常严厉地禁止背谈他人，以及背谈的严重性。在我所知道的圣训中，此段圣训谴责背谈他人，已经达到非常严重的地步。安拉说：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他没有以私欲而说话，这只是他所受的启示。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”——[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星宿章第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lastRenderedPageBreak/>
        <w:t>2-3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]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所以，我们要祈求安拉的怜爱与康乐，并使我们免遭各种各样的憎恶之事。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⑨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：布、穆、铁米济、艾布，达吾德、伊本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马哲传自努尔曼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拜什尔，这段圣训全文如下：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合法的（事物）是显而易见的，非法的（事物）也是显而易见的，在两者之间有一些嫌疑，许多人不大注意；谁若提防了嫌疑，那么，他的宗教与名誉就是清清白白的；谁若陷入嫌疑，那么，他就会陷入非法之中。这就好比在禁区周边放牧的人，他几乎要闯入禁区；须知，每一个国王都有禁区，而安拉的禁区，就是他的各种禁令；注意啊！人身之中有一块肉，当它好的时候，全身皆好，当它坏的时候，全身皆坏，它就是心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《台勒恩布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台勒黑布》文摘，第二册，第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506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页，第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966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段圣训。它是脑威四十段圣训之一。注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⑩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：这是艾布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赛义德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黑拉兹的话。伊本，阿斯卡勒在其翻译著作中有此传述，他是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苏非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的领袖人物，殁于伊历二百年。上述那段话被他们认为是圣训，其实并非圣训。《隐微的揭密卜谢赫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伊斯玛仪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阿吉鲁尼著。</w:t>
      </w:r>
    </w:p>
    <w:p w:rsidR="00F506B2" w:rsidRPr="0080776A" w:rsidRDefault="00F506B2" w:rsidP="00333205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⑩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：布达吾德在《拜功》篇，第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1516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段；伊本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马哲在《礼节》篇，第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3814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段；铁米济在《宣教》篇，第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3430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段，他说，圣训是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独立可行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的，又是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确凿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的圣训，艾哈默德在《穆斯乃德》；伊本，哈巴奈在其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正确的善行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篇，第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927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段中传述，这一切都是伊本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欧麦尔传来的圣训。</w:t>
      </w:r>
    </w:p>
    <w:p w:rsidR="00474C9B" w:rsidRPr="0080776A" w:rsidRDefault="00F506B2" w:rsidP="0080776A">
      <w:pPr>
        <w:shd w:val="clear" w:color="auto" w:fill="F8F8F8"/>
        <w:bidi w:val="0"/>
        <w:spacing w:before="100" w:beforeAutospacing="1" w:line="360" w:lineRule="auto"/>
        <w:ind w:firstLine="480"/>
        <w:rPr>
          <w:sz w:val="30"/>
          <w:szCs w:val="30"/>
          <w:lang w:eastAsia="zh-CN"/>
        </w:rPr>
      </w:pP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注</w:t>
      </w:r>
      <w:r w:rsidRPr="0080776A">
        <w:rPr>
          <w:rFonts w:ascii="SimSun" w:hAnsi="SimSun" w:cs="SimSun" w:hint="eastAsia"/>
          <w:b/>
          <w:bCs/>
          <w:color w:val="333333"/>
          <w:sz w:val="30"/>
          <w:szCs w:val="30"/>
          <w:lang w:eastAsia="zh-CN"/>
        </w:rPr>
        <w:t>⑾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：谢赫，格尔达威在他的著作《文摘》一书中，对此段圣训作了注释，求饶词之首有其深邃的天启内含。它包括调养方面的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讨哈德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（认一论），即：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主啊！你是我的养主。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它包括主宰性方面的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讨哈德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（认一论），即：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你之外，无任何主宰。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；承认安拉的创造性和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lastRenderedPageBreak/>
        <w:t>人的为仆之道，即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你创造了我，我是你的仆人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；它包含与安拉缔结约言，即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我竭尽全力地坚守你的约言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；它包含清清白白做人，并祈求安拉使他免遭罪的（侵袭），即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凭你对我的恩泽，我带着罪回归你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；它包含寻求恕饶，即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“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除你自外，没人能恕饶罪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”</w:t>
      </w:r>
      <w:r w:rsidRPr="0080776A">
        <w:rPr>
          <w:rFonts w:ascii="Verdana" w:hAnsi="Verdana" w:cs="SimSun"/>
          <w:b/>
          <w:bCs/>
          <w:color w:val="333333"/>
          <w:sz w:val="30"/>
          <w:szCs w:val="30"/>
          <w:lang w:eastAsia="zh-CN"/>
        </w:rPr>
        <w:t>；穆斯林最好在晚上诵念此段祷词，在清晨之时，他的祷词将被接纳。</w:t>
      </w:r>
    </w:p>
    <w:sectPr w:rsidR="00474C9B" w:rsidRPr="0080776A" w:rsidSect="00333205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274" w:bottom="899" w:left="1276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B6" w:rsidRDefault="005049B6" w:rsidP="009B2564">
      <w:r>
        <w:separator/>
      </w:r>
    </w:p>
  </w:endnote>
  <w:endnote w:type="continuationSeparator" w:id="1">
    <w:p w:rsidR="005049B6" w:rsidRDefault="005049B6" w:rsidP="009B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Times New Roman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Lit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78" w:rsidRDefault="003A1871" w:rsidP="00C0537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0537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05378" w:rsidRDefault="00C05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C05378" w:rsidRDefault="003A1871">
        <w:pPr>
          <w:pStyle w:val="Footer"/>
          <w:jc w:val="center"/>
        </w:pPr>
        <w:r w:rsidRPr="003A1871">
          <w:rPr>
            <w:color w:val="FFFFFF" w:themeColor="background1"/>
          </w:rPr>
        </w:r>
        <w:r w:rsidRPr="003A1871"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C05378" w:rsidRPr="0080665C" w:rsidRDefault="003A1871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C05378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830374" w:rsidRPr="00830374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C05378" w:rsidRPr="00156EB3" w:rsidRDefault="00C05378" w:rsidP="00C05378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B6" w:rsidRDefault="005049B6" w:rsidP="009B2564">
      <w:r>
        <w:separator/>
      </w:r>
    </w:p>
  </w:footnote>
  <w:footnote w:type="continuationSeparator" w:id="1">
    <w:p w:rsidR="005049B6" w:rsidRDefault="005049B6" w:rsidP="009B2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378"/>
    <w:rsid w:val="00333205"/>
    <w:rsid w:val="003A1871"/>
    <w:rsid w:val="00474C9B"/>
    <w:rsid w:val="005049B6"/>
    <w:rsid w:val="005974D1"/>
    <w:rsid w:val="00622E58"/>
    <w:rsid w:val="0080776A"/>
    <w:rsid w:val="00830374"/>
    <w:rsid w:val="008A265A"/>
    <w:rsid w:val="00B237F7"/>
    <w:rsid w:val="00C05378"/>
    <w:rsid w:val="00D55B89"/>
    <w:rsid w:val="00F506B2"/>
    <w:rsid w:val="00F5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78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53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378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C05378"/>
  </w:style>
  <w:style w:type="paragraph" w:styleId="BalloonText">
    <w:name w:val="Balloon Text"/>
    <w:basedOn w:val="Normal"/>
    <w:link w:val="BalloonTextChar"/>
    <w:uiPriority w:val="99"/>
    <w:semiHidden/>
    <w:unhideWhenUsed/>
    <w:rsid w:val="00C053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78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5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302B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24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955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4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65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4700</Words>
  <Characters>4842</Characters>
  <Application>Microsoft Office Word</Application>
  <DocSecurity>0</DocSecurity>
  <Lines>220</Lines>
  <Paragraphs>119</Paragraphs>
  <ScaleCrop>false</ScaleCrop>
  <Manager/>
  <Company>islamhouse.com</Company>
  <LinksUpToDate>false</LinksUpToDate>
  <CharactersWithSpaces>9423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赶紧做讨白（忏悔）吧</dc:title>
  <dc:subject>赶紧做讨白（忏悔）吧</dc:subject>
  <dc:creator>liu</dc:creator>
  <cp:keywords>赶紧做讨白（忏悔）吧</cp:keywords>
  <dc:description>赶紧做讨白（忏悔）吧</dc:description>
  <cp:lastModifiedBy>HP</cp:lastModifiedBy>
  <cp:revision>4</cp:revision>
  <dcterms:created xsi:type="dcterms:W3CDTF">2014-12-27T20:10:00Z</dcterms:created>
  <dcterms:modified xsi:type="dcterms:W3CDTF">2015-01-27T13:03:00Z</dcterms:modified>
  <cp:category/>
</cp:coreProperties>
</file>