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267057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  <w:r>
        <w:rPr>
          <w:rFonts w:ascii="Arial" w:hAnsi="Arial" w:cs="Arial"/>
          <w:b/>
          <w:bCs/>
          <w:noProof/>
          <w:sz w:val="52"/>
          <w:szCs w:val="52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6" type="#_x0000_t202" style="position:absolute;left:0;text-align:left;margin-left:315pt;margin-top:3.3pt;width:140.75pt;height:35.2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" fillcolor="white [3201]" stroked="f" strokeweight=".5pt">
            <v:path arrowok="t"/>
            <v:textbox>
              <w:txbxContent>
                <w:p w:rsidR="00DF5A57" w:rsidRPr="00C70045" w:rsidRDefault="00DF5A57" w:rsidP="00DF5A57">
                  <w:pPr>
                    <w:jc w:val="center"/>
                    <w:rPr>
                      <w:i/>
                      <w:iCs/>
                      <w:u w:val="single"/>
                    </w:rPr>
                  </w:pPr>
                  <w:r w:rsidRPr="003B55D3">
                    <w:rPr>
                      <w:rFonts w:hint="cs"/>
                      <w:i/>
                      <w:iCs/>
                      <w:sz w:val="40"/>
                      <w:szCs w:val="40"/>
                      <w:u w:val="single"/>
                      <w:rtl/>
                    </w:rPr>
                    <w:t>فتوى</w:t>
                  </w:r>
                  <w:r w:rsidRPr="003B55D3">
                    <w:rPr>
                      <w:rFonts w:hint="cs"/>
                      <w:i/>
                      <w:iCs/>
                      <w:sz w:val="32"/>
                      <w:szCs w:val="32"/>
                      <w:u w:val="single"/>
                      <w:rtl/>
                    </w:rPr>
                    <w:t xml:space="preserve"> </w:t>
                  </w:r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 xml:space="preserve"> </w:t>
                  </w:r>
                  <w:proofErr w:type="spellStart"/>
                  <w:r w:rsidRPr="003B55D3">
                    <w:rPr>
                      <w:rFonts w:hint="eastAsia"/>
                      <w:i/>
                      <w:iCs/>
                      <w:sz w:val="32"/>
                      <w:szCs w:val="32"/>
                      <w:u w:val="single"/>
                    </w:rPr>
                    <w:t>教法判例</w:t>
                  </w:r>
                  <w:proofErr w:type="spellEnd"/>
                </w:p>
              </w:txbxContent>
            </v:textbox>
          </v:shape>
        </w:pict>
      </w: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rtl/>
          <w:lang w:eastAsia="zh-CN"/>
        </w:rPr>
      </w:pPr>
    </w:p>
    <w:p w:rsidR="00A60587" w:rsidRPr="00035EBD" w:rsidRDefault="00A60587" w:rsidP="00A60587">
      <w:pPr>
        <w:bidi w:val="0"/>
        <w:jc w:val="center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C86197" w:rsidRDefault="00C86197" w:rsidP="00274430">
      <w:pPr>
        <w:bidi w:val="0"/>
        <w:spacing w:beforeLines="50"/>
        <w:jc w:val="center"/>
        <w:rPr>
          <w:rFonts w:ascii="SimSun" w:hAnsi="SimSun" w:cs="SimSun"/>
          <w:b/>
          <w:bCs/>
          <w:color w:val="1F497D" w:themeColor="text2"/>
          <w:sz w:val="48"/>
          <w:szCs w:val="48"/>
          <w:lang w:eastAsia="zh-CN"/>
        </w:rPr>
      </w:pPr>
      <w:r w:rsidRPr="00C86197">
        <w:rPr>
          <w:rFonts w:ascii="SimSun" w:hAnsi="SimSun" w:cs="SimSun" w:hint="eastAsia"/>
          <w:b/>
          <w:bCs/>
          <w:color w:val="1F497D" w:themeColor="text2"/>
          <w:sz w:val="48"/>
          <w:szCs w:val="48"/>
          <w:lang w:eastAsia="zh-CN"/>
        </w:rPr>
        <w:t>教律对与恶人为友的判断</w:t>
      </w:r>
    </w:p>
    <w:p w:rsidR="00EB6455" w:rsidRDefault="00EB6455" w:rsidP="00C86197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Tahoma" w:eastAsia="MS UI Gothic" w:hAnsi="Tahoma" w:cs="Tahoma"/>
          <w:b/>
          <w:bCs/>
          <w:sz w:val="32"/>
          <w:szCs w:val="32"/>
          <w:lang w:eastAsia="zh-CN"/>
        </w:rPr>
        <w:t xml:space="preserve"> 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  <w:r w:rsidRPr="00962983">
        <w:rPr>
          <w:rFonts w:ascii="Courier New" w:hAnsi="Courier New" w:cs="Courier New"/>
          <w:b/>
          <w:bCs/>
          <w:sz w:val="32"/>
          <w:szCs w:val="32"/>
          <w:lang w:eastAsia="zh-CN"/>
        </w:rPr>
        <w:t xml:space="preserve"> </w:t>
      </w:r>
    </w:p>
    <w:p w:rsidR="00EE484A" w:rsidRPr="00962983" w:rsidRDefault="00EE484A" w:rsidP="00EE484A">
      <w:pPr>
        <w:bidi w:val="0"/>
        <w:spacing w:beforeLines="50"/>
        <w:jc w:val="center"/>
        <w:rPr>
          <w:rFonts w:ascii="Tahoma" w:eastAsia="MS UI Gothic" w:hAnsi="Tahoma" w:cs="Tahoma"/>
          <w:b/>
          <w:bCs/>
          <w:sz w:val="32"/>
          <w:szCs w:val="32"/>
          <w:lang w:eastAsia="zh-CN" w:bidi="ar-EG"/>
        </w:rPr>
      </w:pPr>
    </w:p>
    <w:p w:rsidR="00EB6455" w:rsidRDefault="00EB6455" w:rsidP="00EB6455">
      <w:pPr>
        <w:bidi w:val="0"/>
        <w:jc w:val="center"/>
        <w:rPr>
          <w:rFonts w:ascii="Courier New" w:hAnsi="Courier New" w:cs="Courier New"/>
          <w:b/>
          <w:bCs/>
          <w:szCs w:val="24"/>
          <w:lang w:eastAsia="zh-CN"/>
        </w:rPr>
      </w:pPr>
    </w:p>
    <w:p w:rsidR="00C86197" w:rsidRPr="00C86197" w:rsidRDefault="00C86197" w:rsidP="00C86197">
      <w:pPr>
        <w:shd w:val="clear" w:color="auto" w:fill="FFFFFF"/>
        <w:spacing w:after="60"/>
        <w:jc w:val="center"/>
        <w:outlineLvl w:val="3"/>
        <w:rPr>
          <w:rFonts w:ascii="inherit" w:eastAsia="Times New Roman" w:hAnsi="inherit" w:cs="Times New Roman"/>
          <w:b/>
          <w:bCs/>
          <w:color w:val="1F497D" w:themeColor="text2"/>
          <w:sz w:val="48"/>
          <w:szCs w:val="48"/>
        </w:rPr>
      </w:pPr>
      <w:r w:rsidRPr="00C86197">
        <w:rPr>
          <w:rFonts w:ascii="inherit" w:eastAsia="Times New Roman" w:hAnsi="inherit" w:cs="Times New Roman"/>
          <w:b/>
          <w:bCs/>
          <w:color w:val="1F497D" w:themeColor="text2"/>
          <w:sz w:val="48"/>
          <w:szCs w:val="48"/>
          <w:rtl/>
        </w:rPr>
        <w:t>حكم مصادقة العصاة</w:t>
      </w:r>
    </w:p>
    <w:p w:rsidR="00EB6455" w:rsidRPr="00962983" w:rsidRDefault="00EB6455" w:rsidP="00EB6455">
      <w:pPr>
        <w:bidi w:val="0"/>
        <w:jc w:val="center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:rsidR="00EB6455" w:rsidRPr="00962983" w:rsidRDefault="00A60587" w:rsidP="00A60587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40"/>
          <w:szCs w:val="40"/>
          <w:lang w:val="tr-TR" w:eastAsia="zh-CN"/>
        </w:rPr>
      </w:pPr>
      <w:r w:rsidRPr="00962983">
        <w:rPr>
          <w:rFonts w:ascii="STXingkai" w:eastAsia="STXingkai"/>
          <w:b/>
          <w:bCs/>
          <w:sz w:val="40"/>
          <w:szCs w:val="40"/>
          <w:lang w:eastAsia="zh-CN"/>
        </w:rPr>
        <w:t>伊斯兰问答网站</w:t>
      </w:r>
    </w:p>
    <w:p w:rsidR="00EB6455" w:rsidRPr="00962983" w:rsidRDefault="00A60587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4"/>
          <w:szCs w:val="44"/>
          <w:lang w:bidi="ar-EG"/>
        </w:rPr>
      </w:pPr>
      <w:r w:rsidRPr="00962983">
        <w:rPr>
          <w:rFonts w:ascii="mylotus" w:hAnsi="mylotus" w:cs="mylotus" w:hint="cs"/>
          <w:b/>
          <w:bCs/>
          <w:sz w:val="44"/>
          <w:szCs w:val="44"/>
          <w:rtl/>
          <w:lang w:bidi="ar-EG"/>
        </w:rPr>
        <w:t>موقع</w:t>
      </w:r>
      <w:r w:rsidRPr="00962983">
        <w:rPr>
          <w:rFonts w:ascii="mylotus" w:hAnsi="mylotus" w:cs="mylotus"/>
          <w:b/>
          <w:bCs/>
          <w:sz w:val="44"/>
          <w:szCs w:val="44"/>
          <w:rtl/>
          <w:lang w:bidi="ar-EG"/>
        </w:rPr>
        <w:t xml:space="preserve"> الإسلام سؤال وجواب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E484A">
      <w:pPr>
        <w:bidi w:val="0"/>
        <w:spacing w:line="240" w:lineRule="exact"/>
        <w:rPr>
          <w:rFonts w:ascii="mylotus" w:hAnsi="mylotus" w:cs="mylotus"/>
          <w:b/>
          <w:bCs/>
          <w:sz w:val="28"/>
          <w:szCs w:val="28"/>
          <w:lang w:eastAsia="zh-CN"/>
        </w:rPr>
      </w:pPr>
    </w:p>
    <w:p w:rsidR="00EB6455" w:rsidRPr="00D04B88" w:rsidRDefault="00A60587" w:rsidP="00856385">
      <w:pPr>
        <w:bidi w:val="0"/>
        <w:spacing w:before="150" w:after="150" w:line="284" w:lineRule="atLeast"/>
        <w:jc w:val="center"/>
        <w:rPr>
          <w:rFonts w:ascii="TR Bahamas Light" w:hAnsi="TR Bahamas Light" w:cs="AL-Mohanad"/>
          <w:b/>
          <w:bCs/>
          <w:sz w:val="36"/>
          <w:lang w:eastAsia="zh-CN"/>
        </w:rPr>
      </w:pPr>
      <w:r w:rsidRPr="00D04B88">
        <w:rPr>
          <w:rFonts w:ascii="STXinwei" w:eastAsia="STXinwei" w:hAnsi="Calibri" w:cs="KFGQPC Uthman Taha Naskh" w:hint="eastAsia"/>
          <w:b/>
          <w:bCs/>
          <w:color w:val="auto"/>
          <w:sz w:val="36"/>
          <w:lang w:eastAsia="zh-CN"/>
        </w:rPr>
        <w:t>编审</w:t>
      </w:r>
      <w:r w:rsidR="00EB6455" w:rsidRPr="00D04B88">
        <w:rPr>
          <w:rFonts w:ascii="STXingkai" w:eastAsia="STXingkai" w:hAnsi="TR Bahamas Light"/>
          <w:b/>
          <w:bCs/>
          <w:color w:val="auto"/>
          <w:sz w:val="36"/>
          <w:lang w:val="tr-TR" w:eastAsia="zh-CN"/>
        </w:rPr>
        <w:t>:</w:t>
      </w:r>
      <w:r w:rsidR="00EB6455" w:rsidRPr="00D04B88">
        <w:rPr>
          <w:rFonts w:ascii="TR Bahamas Light" w:hAnsi="TR Bahamas Light" w:cs="mylotus"/>
          <w:b/>
          <w:bCs/>
          <w:sz w:val="36"/>
          <w:lang w:eastAsia="zh-CN"/>
        </w:rPr>
        <w:t xml:space="preserve"> </w:t>
      </w:r>
      <w:r w:rsidR="00856385" w:rsidRPr="00D04B88">
        <w:rPr>
          <w:rFonts w:asciiTheme="minorEastAsia" w:eastAsiaTheme="minorEastAsia" w:hAnsiTheme="minorEastAsia" w:hint="eastAsia"/>
          <w:kern w:val="28"/>
          <w:sz w:val="36"/>
          <w:lang w:eastAsia="zh-CN"/>
        </w:rPr>
        <w:t>伊斯兰之家中文小组</w:t>
      </w:r>
    </w:p>
    <w:p w:rsidR="00EB6455" w:rsidRPr="00962983" w:rsidRDefault="00EB6455" w:rsidP="0085638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مراجعة</w:t>
      </w:r>
      <w:r w:rsidRPr="00962983">
        <w:rPr>
          <w:rFonts w:ascii="mylotus" w:hAnsi="mylotus" w:cs="mylotus"/>
          <w:b/>
          <w:bCs/>
          <w:sz w:val="40"/>
          <w:szCs w:val="40"/>
          <w:rtl/>
        </w:rPr>
        <w:t xml:space="preserve">: </w:t>
      </w:r>
      <w:r w:rsidR="00856385" w:rsidRPr="00962983">
        <w:rPr>
          <w:rFonts w:ascii="mylotus" w:hAnsi="mylotus" w:cs="KFGQPC Uthman Taha Naskh" w:hint="cs"/>
          <w:sz w:val="40"/>
          <w:szCs w:val="40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AF16E5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4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AF16E5">
        <w:rPr>
          <w:rFonts w:ascii="MS UI Gothic" w:eastAsiaTheme="minorEastAsia" w:hAnsi="MS UI Gothic" w:cs="Times New Roman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Default="00A60587">
      <w:pPr>
        <w:bidi w:val="0"/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</w:pPr>
      <w:r>
        <w:rPr>
          <w:rFonts w:ascii="Calibri" w:hAnsi="Calibri" w:cs="KFGQPC Uthman Taha Naskh"/>
          <w:b/>
          <w:bCs/>
          <w:color w:val="800000"/>
          <w:sz w:val="40"/>
          <w:szCs w:val="40"/>
          <w:rtl/>
          <w:lang w:eastAsia="zh-CN"/>
        </w:rPr>
        <w:br w:type="page"/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Pr="006412A0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60587" w:rsidRPr="00A60587" w:rsidRDefault="00A60587" w:rsidP="008C1908">
      <w:pPr>
        <w:bidi w:val="0"/>
        <w:spacing w:beforeLines="50" w:afterLines="50" w:line="460" w:lineRule="exact"/>
        <w:jc w:val="center"/>
        <w:rPr>
          <w:rFonts w:ascii="STXingkai" w:eastAsia="STXingkai" w:hAnsi="Calibri" w:cs="KFGQPC Uthman Taha Naskh"/>
          <w:b/>
          <w:bCs/>
          <w:color w:val="333399"/>
          <w:sz w:val="32"/>
          <w:szCs w:val="32"/>
          <w:lang w:eastAsia="zh-CN"/>
        </w:rPr>
      </w:pPr>
    </w:p>
    <w:p w:rsidR="00C86197" w:rsidRPr="00C86197" w:rsidRDefault="00C86197" w:rsidP="00C86197">
      <w:pPr>
        <w:pStyle w:val="Heading4"/>
        <w:shd w:val="clear" w:color="auto" w:fill="FFFFFF"/>
        <w:spacing w:before="0" w:beforeAutospacing="0" w:after="60" w:afterAutospacing="0"/>
        <w:jc w:val="center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86197">
        <w:rPr>
          <w:rFonts w:asciiTheme="minorEastAsia" w:eastAsiaTheme="minorEastAsia" w:hAnsiTheme="minorEastAsia" w:cs="SimSun" w:hint="eastAsia"/>
          <w:color w:val="000000" w:themeColor="text1"/>
          <w:sz w:val="36"/>
          <w:szCs w:val="36"/>
        </w:rPr>
        <w:t>教律对与恶人为友的判断</w:t>
      </w:r>
    </w:p>
    <w:p w:rsidR="00C86197" w:rsidRPr="00C86197" w:rsidRDefault="00C86197" w:rsidP="00C86197">
      <w:pPr>
        <w:shd w:val="clear" w:color="auto" w:fill="FFFFFF"/>
        <w:bidi w:val="0"/>
        <w:spacing w:before="240" w:after="240" w:line="240" w:lineRule="atLeast"/>
        <w:jc w:val="both"/>
        <w:rPr>
          <w:rFonts w:asciiTheme="minorEastAsia" w:eastAsiaTheme="minorEastAsia" w:hAnsiTheme="minorEastAsia" w:cs="Tahoma"/>
          <w:color w:val="000000" w:themeColor="text1"/>
          <w:sz w:val="36"/>
        </w:rPr>
      </w:pPr>
    </w:p>
    <w:p w:rsidR="00C86197" w:rsidRPr="00C86197" w:rsidRDefault="00C86197" w:rsidP="00C86197">
      <w:pPr>
        <w:pStyle w:val="list-group-item-text"/>
        <w:shd w:val="clear" w:color="auto" w:fill="FFFFFF"/>
        <w:spacing w:before="0" w:beforeAutospacing="0" w:after="0" w:afterAutospacing="0" w:line="480" w:lineRule="auto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问：一个坚守伊斯兰的人，是否可以与既饮酒又不做</w:t>
      </w:r>
    </w:p>
    <w:p w:rsidR="00C86197" w:rsidRPr="00C86197" w:rsidRDefault="00C86197" w:rsidP="00C8619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礼拜的名义上的穆斯林交谈，并建立友情，给他</w:t>
      </w:r>
    </w:p>
    <w:p w:rsidR="00C86197" w:rsidRPr="00C86197" w:rsidRDefault="00C86197" w:rsidP="00C8619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提供帮助？至于那些不履行宗教功修，违反真主</w:t>
      </w:r>
    </w:p>
    <w:p w:rsidR="00C86197" w:rsidRPr="00C86197" w:rsidRDefault="00C86197" w:rsidP="00C8619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Microsoft YaHei"/>
          <w:b/>
          <w:bCs/>
          <w:color w:val="C00000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的命令的人们，与他们交朋友，给他们提供帮助，</w:t>
      </w:r>
    </w:p>
    <w:p w:rsidR="00C86197" w:rsidRPr="00C86197" w:rsidRDefault="00C86197" w:rsidP="00C86197">
      <w:pPr>
        <w:pStyle w:val="list-group-item-text"/>
        <w:shd w:val="clear" w:color="auto" w:fill="FFFFFF"/>
        <w:spacing w:before="0" w:beforeAutospacing="0" w:after="0" w:afterAutospacing="0" w:line="480" w:lineRule="auto"/>
        <w:ind w:firstLine="720"/>
        <w:jc w:val="both"/>
        <w:rPr>
          <w:rFonts w:asciiTheme="minorEastAsia" w:eastAsiaTheme="minorEastAsia" w:hAnsiTheme="minorEastAsia" w:cs="Tahoma"/>
          <w:b/>
          <w:bCs/>
          <w:color w:val="C00000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b/>
          <w:bCs/>
          <w:color w:val="C00000"/>
          <w:sz w:val="36"/>
          <w:szCs w:val="36"/>
        </w:rPr>
        <w:t>教律对此是如何判断的？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答：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一切赞颂全归真主。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罪恶分为两种：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第一种：背离伊斯兰，导致叛教的罪恶。干犯这类罪恶者，若无特殊原因，既已叛教。这些罪恶如：以物配主、完全放弃礼拜等。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第二种：不导致叛教的罪恶。干犯者随不为叛教，但被归为放荡干罪者，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伊玛尼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欠损的信士。如：奸淫、饮酒等。这是在其没有将这些罪恶视为合法的情况下，若其将真主所禁止的事情视为合法，就已然叛教，如果他的情况已经符合了叛教的条件。正统派的信仰以及先贤的公议一致认为，只要犯罪者没有将真主禁止的事情视为合法，就不能将其断为叛教。关于这个问题可以参考第（</w:t>
      </w:r>
      <w:hyperlink r:id="rId10" w:history="1">
        <w:r w:rsidRPr="00C8619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9924</w:t>
        </w:r>
      </w:hyperlink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）号问答。因此，与人交往的要求也就以前面提到的这个问题为基础。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不可将非穆斯林作为好友，或与他们亲密交往，或与他们混居，视他们为密友。或对他们的喜爱超越了对信士的喜爱。崇高的真主说：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你不会发现确信真主和末日的民众，会与违抗真主和使者的人相亲相爱，即使那等人是他们的父亲，或儿子，或兄弟，或亲戚。这等人，真主曾将正信铭刻在他们的心上，并且以从他降下的精神援助他们。他将使他们入下临诸河的乐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园，而永居其中。真主喜悦他们，他们也喜悦他。这等人是真主的党羽，真的，真主的党羽确是成功的。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（《古兰经》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58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22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但是，必须与他们维持公道，不可欺侮他们，或不以教律为准绳，无端地敌视他们。允许与他们进行买卖、借贷等活动。先知（真主的称赞、祝福与安宁属于他）曾从塞弗宛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本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伍麦耶处借用过武器，还曾向犹太人购买过食品。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至于犯罪的信士，则应根据他们的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伊玛尼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的程度，给予他们相应的爱；根据他们的干犯罪恶的情况，对他们有相应的憎恶。至于与他们交朋友，这不符合以下这段圣训的精神：先知（真主的称赞、祝福与安宁属于他）说：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优秀的伙伴与恶劣的伙伴之比喻，就如同售卖麝香者和拉风箱吹火者。售卖麝香者，或是能赠与你一些麝香，或你可以从他那里购买一些，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或你可以从他那里闻到芬芳的气味。而拉风箱吹火者，或是烧到你的衣服，或是使你闻到恶劣的气味。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（穆斯林收录，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2628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）恶劣的朋友，会使你置于危险的境地，他对你来说，危害绝大于利益。由于某人具有正信的迹象，而喜爱他，不同于与他密切交往，二者是有所区别的。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但是，如果与某人交往的目的是为了团结其心，向其传达真理，引导他走上正路，那么，这属于美好的善功。正如真主说：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召人信仰真主，力行善功，并且说：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‘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我确是穆斯林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’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的人，在言辞方面，有谁比他更优美呢？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（《古兰经》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41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33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）但这样做，应以不使你受到负面影响为前提，不应适得其反，本来要帮助他，但却使你受到了坏的影响。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综前所述，各人应对自己的行为负责，如果某人完全放弃了礼拜，他就是叛教者。因为这是众学者对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这个问题的意见中最为正确的判断，这也是先贤们的主张：放弃礼拜的人，已叛离伊斯兰。相关的证据可以在以下问答中找到：（</w:t>
      </w:r>
      <w:hyperlink r:id="rId11" w:history="1">
        <w:r w:rsidRPr="00C8619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10094</w:t>
        </w:r>
      </w:hyperlink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</w:t>
      </w:r>
      <w:hyperlink r:id="rId12" w:history="1">
        <w:r w:rsidRPr="00C8619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33007</w:t>
        </w:r>
      </w:hyperlink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</w:t>
      </w:r>
      <w:hyperlink r:id="rId13" w:history="1">
        <w:r w:rsidRPr="00C8619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6035</w:t>
        </w:r>
      </w:hyperlink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</w:t>
      </w:r>
      <w:hyperlink r:id="rId14" w:history="1">
        <w:r w:rsidRPr="00C8619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5208</w:t>
        </w:r>
      </w:hyperlink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，</w:t>
      </w: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</w:t>
      </w:r>
      <w:hyperlink r:id="rId15" w:history="1">
        <w:r w:rsidRPr="00C86197">
          <w:rPr>
            <w:rStyle w:val="Hyperlink"/>
            <w:rFonts w:asciiTheme="minorEastAsia" w:eastAsiaTheme="minorEastAsia" w:hAnsiTheme="minorEastAsia" w:cs="Tahoma"/>
            <w:color w:val="000000" w:themeColor="text1"/>
            <w:sz w:val="36"/>
            <w:szCs w:val="36"/>
          </w:rPr>
          <w:t>2182</w:t>
        </w:r>
      </w:hyperlink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因此，喜爱放弃礼拜的人、与其亲密交往也是不许可的。而其应当虔诚地向真主悔罪，按时完成拜功。真主说：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如果他们悔过自新，谨守拜功，完纳天课，他们就是你们的教胞。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（《古兰经》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9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11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 xml:space="preserve">    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须知，与贤良者为伍，是尊大的真主之命令，正如真主说：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信道的人们啊！你们要敬畏真主，要和诚实的人在一起。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（《古兰经》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9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119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“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在早晨和晚夕祈祷自己的主而求其喜悦者，你应当耐心地和他们在一起。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”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（《古兰经》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18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：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28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）而且，正像前面提到的圣训所讲，这也是先知（真主的称赞、祝福与安宁属于他）的教诲。真主至知。</w:t>
      </w:r>
    </w:p>
    <w:p w:rsidR="00C86197" w:rsidRPr="00C86197" w:rsidRDefault="00C86197" w:rsidP="00C86197">
      <w:pPr>
        <w:pStyle w:val="NormalWeb"/>
        <w:shd w:val="clear" w:color="auto" w:fill="FFFFFF"/>
        <w:spacing w:before="0" w:beforeAutospacing="0" w:after="120" w:afterAutospacing="0" w:line="480" w:lineRule="auto"/>
        <w:jc w:val="both"/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</w:pP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lastRenderedPageBreak/>
        <w:t>更多相关内容可参阅伊本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·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欧赛悯教长的教法判例（</w:t>
      </w:r>
      <w:r w:rsidRPr="00C86197">
        <w:rPr>
          <w:rFonts w:asciiTheme="minorEastAsia" w:eastAsiaTheme="minorEastAsia" w:hAnsiTheme="minorEastAsia" w:cs="Tahoma"/>
          <w:color w:val="000000" w:themeColor="text1"/>
          <w:sz w:val="36"/>
          <w:szCs w:val="36"/>
        </w:rPr>
        <w:t>3/31</w:t>
      </w:r>
      <w:r w:rsidRPr="00C86197">
        <w:rPr>
          <w:rFonts w:asciiTheme="minorEastAsia" w:eastAsiaTheme="minorEastAsia" w:hAnsiTheme="minorEastAsia" w:cs="Microsoft YaHei" w:hint="eastAsia"/>
          <w:color w:val="000000" w:themeColor="text1"/>
          <w:sz w:val="36"/>
          <w:szCs w:val="36"/>
        </w:rPr>
        <w:t>）</w:t>
      </w:r>
    </w:p>
    <w:p w:rsidR="00A60587" w:rsidRPr="00A60587" w:rsidRDefault="00A60587" w:rsidP="00A60587">
      <w:pPr>
        <w:shd w:val="clear" w:color="auto" w:fill="FFFFFF"/>
        <w:bidi w:val="0"/>
        <w:spacing w:after="120" w:line="480" w:lineRule="auto"/>
        <w:jc w:val="both"/>
        <w:rPr>
          <w:rFonts w:ascii="SimSun" w:hAnsi="SimSun" w:cs="Tahoma"/>
          <w:b/>
          <w:bCs/>
          <w:color w:val="auto"/>
          <w:sz w:val="28"/>
          <w:szCs w:val="28"/>
          <w:lang w:eastAsia="zh-CN"/>
        </w:rPr>
      </w:pPr>
    </w:p>
    <w:sectPr w:rsidR="00A60587" w:rsidRPr="00A60587" w:rsidSect="00156EB3">
      <w:footerReference w:type="even" r:id="rId16"/>
      <w:footerReference w:type="default" r:id="rId17"/>
      <w:footnotePr>
        <w:numFmt w:val="decimalEnclosedCircleChinese"/>
        <w:numRestart w:val="eachPage"/>
      </w:footnotePr>
      <w:pgSz w:w="11906" w:h="16838"/>
      <w:pgMar w:top="719" w:right="1800" w:bottom="899" w:left="180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125" w:rsidRDefault="00CB1125" w:rsidP="00EB6455">
      <w:r>
        <w:separator/>
      </w:r>
    </w:p>
  </w:endnote>
  <w:endnote w:type="continuationSeparator" w:id="0">
    <w:p w:rsidR="00CB1125" w:rsidRDefault="00CB1125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we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267057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CB11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B3" w:rsidRDefault="00267057" w:rsidP="00140785">
    <w:pPr>
      <w:pStyle w:val="Footer"/>
      <w:jc w:val="center"/>
      <w:rPr>
        <w:sz w:val="28"/>
        <w:szCs w:val="28"/>
        <w:lang w:bidi="ar-EG"/>
      </w:rPr>
    </w:pPr>
    <w:r w:rsidRPr="00923817">
      <w:rPr>
        <w:sz w:val="28"/>
        <w:szCs w:val="28"/>
      </w:rPr>
      <w:fldChar w:fldCharType="begin"/>
    </w:r>
    <w:r w:rsidR="00DB44B1" w:rsidRPr="00923817">
      <w:rPr>
        <w:sz w:val="28"/>
        <w:szCs w:val="28"/>
      </w:rPr>
      <w:instrText xml:space="preserve"> PAGE  \* Arabic  \* MERGEFORMAT </w:instrText>
    </w:r>
    <w:r w:rsidRPr="00923817">
      <w:rPr>
        <w:sz w:val="28"/>
        <w:szCs w:val="28"/>
      </w:rPr>
      <w:fldChar w:fldCharType="separate"/>
    </w:r>
    <w:r w:rsidR="00AF16E5">
      <w:rPr>
        <w:noProof/>
        <w:sz w:val="28"/>
        <w:szCs w:val="28"/>
      </w:rPr>
      <w:t>2</w:t>
    </w:r>
    <w:r w:rsidRPr="00923817">
      <w:rPr>
        <w:sz w:val="28"/>
        <w:szCs w:val="28"/>
      </w:rPr>
      <w:fldChar w:fldCharType="end"/>
    </w:r>
  </w:p>
  <w:p w:rsidR="005C5331" w:rsidRPr="00156EB3" w:rsidRDefault="00CB1125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125" w:rsidRDefault="00CB1125" w:rsidP="00EB6455">
      <w:r>
        <w:separator/>
      </w:r>
    </w:p>
  </w:footnote>
  <w:footnote w:type="continuationSeparator" w:id="0">
    <w:p w:rsidR="00CB1125" w:rsidRDefault="00CB1125" w:rsidP="00EB6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7618C"/>
    <w:rsid w:val="000777D6"/>
    <w:rsid w:val="00122361"/>
    <w:rsid w:val="00157B23"/>
    <w:rsid w:val="001743FA"/>
    <w:rsid w:val="0019347C"/>
    <w:rsid w:val="001B6333"/>
    <w:rsid w:val="002350D4"/>
    <w:rsid w:val="00267057"/>
    <w:rsid w:val="00274430"/>
    <w:rsid w:val="002804F9"/>
    <w:rsid w:val="002A30C7"/>
    <w:rsid w:val="0031151D"/>
    <w:rsid w:val="00352158"/>
    <w:rsid w:val="003B55D3"/>
    <w:rsid w:val="00442CC2"/>
    <w:rsid w:val="00462A59"/>
    <w:rsid w:val="00482F6F"/>
    <w:rsid w:val="004E1EA8"/>
    <w:rsid w:val="005056E6"/>
    <w:rsid w:val="00545767"/>
    <w:rsid w:val="005C6719"/>
    <w:rsid w:val="005F220A"/>
    <w:rsid w:val="0061619F"/>
    <w:rsid w:val="00616C3E"/>
    <w:rsid w:val="006412A0"/>
    <w:rsid w:val="00657854"/>
    <w:rsid w:val="0066117B"/>
    <w:rsid w:val="006D5DD9"/>
    <w:rsid w:val="007B587A"/>
    <w:rsid w:val="007E1889"/>
    <w:rsid w:val="00844DDF"/>
    <w:rsid w:val="00856385"/>
    <w:rsid w:val="008B2286"/>
    <w:rsid w:val="008C1908"/>
    <w:rsid w:val="0093085A"/>
    <w:rsid w:val="00935B96"/>
    <w:rsid w:val="00945734"/>
    <w:rsid w:val="00962983"/>
    <w:rsid w:val="009750B0"/>
    <w:rsid w:val="009D344A"/>
    <w:rsid w:val="00A11098"/>
    <w:rsid w:val="00A2494F"/>
    <w:rsid w:val="00A3521C"/>
    <w:rsid w:val="00A60587"/>
    <w:rsid w:val="00AF16E5"/>
    <w:rsid w:val="00B83686"/>
    <w:rsid w:val="00BC1D95"/>
    <w:rsid w:val="00C11F71"/>
    <w:rsid w:val="00C5412A"/>
    <w:rsid w:val="00C86197"/>
    <w:rsid w:val="00CB1125"/>
    <w:rsid w:val="00CC3482"/>
    <w:rsid w:val="00CD6F06"/>
    <w:rsid w:val="00CD733C"/>
    <w:rsid w:val="00D04B88"/>
    <w:rsid w:val="00D15E7D"/>
    <w:rsid w:val="00D36432"/>
    <w:rsid w:val="00D860D2"/>
    <w:rsid w:val="00DB44B1"/>
    <w:rsid w:val="00DC4991"/>
    <w:rsid w:val="00DC54D7"/>
    <w:rsid w:val="00DF5A57"/>
    <w:rsid w:val="00E13455"/>
    <w:rsid w:val="00EB6455"/>
    <w:rsid w:val="00EE484A"/>
    <w:rsid w:val="00FD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86197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86197"/>
  </w:style>
  <w:style w:type="paragraph" w:customStyle="1" w:styleId="list-group-item-text">
    <w:name w:val="list-group-item-text"/>
    <w:basedOn w:val="Normal"/>
    <w:rsid w:val="00C86197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C86197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hyperlink" Target="http://islamqa.info/zh/603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islamqa.info/zh/33007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hyperlink" Target="http://islamqa.info/zh/10094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slamqa.info/zh/2182" TargetMode="External"/><Relationship Id="rId10" Type="http://schemas.openxmlformats.org/officeDocument/2006/relationships/hyperlink" Target="http://islamqa.info/zh/9924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hyperlink" Target="http://islamqa.info/zh/5208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1021</Words>
  <Characters>1113</Characters>
  <Application>Microsoft Office Word</Application>
  <DocSecurity>0</DocSecurity>
  <Lines>69</Lines>
  <Paragraphs>36</Paragraphs>
  <ScaleCrop>false</ScaleCrop>
  <Manager/>
  <Company>islamhouse.com</Company>
  <LinksUpToDate>false</LinksUpToDate>
  <CharactersWithSpaces>2098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教律对与恶人为友的判断_x000d_</dc:title>
  <dc:subject>教律对与恶人为友的判断_x000d_</dc:subject>
  <dc:creator>伊斯兰问答网站_x000d_</dc:creator>
  <cp:keywords>教律对与恶人为友的判断_x000d_</cp:keywords>
  <dc:description>教律对与恶人为友的判断_x000d_</dc:description>
  <cp:lastModifiedBy>Al-Hashemy</cp:lastModifiedBy>
  <cp:revision>3</cp:revision>
  <dcterms:created xsi:type="dcterms:W3CDTF">2014-11-26T12:22:00Z</dcterms:created>
  <dcterms:modified xsi:type="dcterms:W3CDTF">2014-12-03T10:42:00Z</dcterms:modified>
  <cp:category/>
</cp:coreProperties>
</file>