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F1E1F" w14:textId="77777777" w:rsidR="0043690B" w:rsidRDefault="0043690B" w:rsidP="003C159A">
      <w:pPr>
        <w:jc w:val="center"/>
        <w:rPr>
          <w:rFonts w:cs="DecoType Naskh Variants"/>
          <w:b w:val="0"/>
          <w:bCs w:val="0"/>
          <w:sz w:val="100"/>
          <w:szCs w:val="100"/>
          <w:lang w:eastAsia="en-US"/>
        </w:rPr>
      </w:pPr>
    </w:p>
    <w:p w14:paraId="01F1E0B4" w14:textId="77777777" w:rsidR="0043690B" w:rsidRDefault="0043690B" w:rsidP="003C159A">
      <w:pPr>
        <w:jc w:val="center"/>
        <w:rPr>
          <w:rFonts w:cs="DecoType Naskh Variants"/>
          <w:b w:val="0"/>
          <w:bCs w:val="0"/>
          <w:sz w:val="100"/>
          <w:szCs w:val="100"/>
          <w:lang w:eastAsia="en-US"/>
        </w:rPr>
      </w:pPr>
    </w:p>
    <w:p w14:paraId="02CB9CDA" w14:textId="77777777" w:rsidR="0043690B" w:rsidRPr="007934B4" w:rsidRDefault="003C159A" w:rsidP="003C159A">
      <w:pPr>
        <w:jc w:val="center"/>
        <w:rPr>
          <w:rFonts w:cs="KFGQPC Uthman Taha Naskh"/>
          <w:color w:val="FF0000"/>
          <w:sz w:val="100"/>
          <w:szCs w:val="100"/>
          <w:lang w:eastAsia="en-US"/>
        </w:rPr>
      </w:pPr>
      <w:r w:rsidRPr="007934B4">
        <w:rPr>
          <w:rFonts w:cs="KFGQPC Uthman Taha Naskh" w:hint="cs"/>
          <w:color w:val="FF0000"/>
          <w:sz w:val="100"/>
          <w:szCs w:val="100"/>
          <w:rtl/>
          <w:lang w:eastAsia="en-US"/>
        </w:rPr>
        <w:t>الأصول الستة</w:t>
      </w:r>
    </w:p>
    <w:p w14:paraId="1F6B50FB" w14:textId="77777777" w:rsidR="0043690B" w:rsidRPr="0043690B" w:rsidRDefault="0043690B" w:rsidP="003C159A">
      <w:pPr>
        <w:jc w:val="center"/>
        <w:rPr>
          <w:rFonts w:cs="KFGQPC Uthman Taha Naskh"/>
          <w:b w:val="0"/>
          <w:bCs w:val="0"/>
          <w:sz w:val="100"/>
          <w:szCs w:val="100"/>
          <w:lang w:eastAsia="en-US"/>
        </w:rPr>
      </w:pPr>
    </w:p>
    <w:p w14:paraId="46DCC19D" w14:textId="584D0FFD" w:rsidR="003C159A" w:rsidRPr="0043690B" w:rsidRDefault="003C159A" w:rsidP="003C159A">
      <w:pPr>
        <w:jc w:val="center"/>
        <w:rPr>
          <w:rFonts w:cs="KFGQPC Uthman Taha Naskh"/>
          <w:sz w:val="40"/>
          <w:szCs w:val="40"/>
          <w:lang w:eastAsia="en-US"/>
        </w:rPr>
      </w:pPr>
      <w:r w:rsidRPr="0043690B">
        <w:rPr>
          <w:rFonts w:cs="KFGQPC Uthman Taha Naskh" w:hint="cs"/>
          <w:b w:val="0"/>
          <w:bCs w:val="0"/>
          <w:sz w:val="100"/>
          <w:szCs w:val="100"/>
          <w:rtl/>
          <w:lang w:eastAsia="en-US"/>
        </w:rPr>
        <w:t xml:space="preserve"> </w:t>
      </w:r>
    </w:p>
    <w:p w14:paraId="1DFC7CE7" w14:textId="77777777" w:rsidR="003C159A" w:rsidRPr="007934B4" w:rsidRDefault="003C159A" w:rsidP="003C159A">
      <w:pPr>
        <w:jc w:val="center"/>
        <w:rPr>
          <w:rFonts w:cs="KFGQPC Uthman Taha Naskh"/>
          <w:sz w:val="32"/>
          <w:szCs w:val="32"/>
          <w:rtl/>
          <w:lang w:eastAsia="en-US"/>
        </w:rPr>
      </w:pPr>
      <w:r w:rsidRPr="007934B4">
        <w:rPr>
          <w:rFonts w:cs="KFGQPC Uthman Taha Naskh" w:hint="cs"/>
          <w:sz w:val="52"/>
          <w:szCs w:val="52"/>
          <w:rtl/>
          <w:lang w:eastAsia="en-US"/>
        </w:rPr>
        <w:t xml:space="preserve">للإمام المجدد شيخ الإسلام محمد بن عبد الوهاب </w:t>
      </w:r>
    </w:p>
    <w:p w14:paraId="7A506DBA" w14:textId="77777777" w:rsidR="003C159A" w:rsidRPr="007934B4" w:rsidRDefault="003C159A" w:rsidP="003C159A">
      <w:pPr>
        <w:jc w:val="center"/>
        <w:rPr>
          <w:rFonts w:cs="KFGQPC Uthman Taha Naskh"/>
          <w:sz w:val="22"/>
          <w:szCs w:val="22"/>
          <w:rtl/>
          <w:lang w:eastAsia="en-US"/>
        </w:rPr>
      </w:pPr>
      <w:r w:rsidRPr="007934B4">
        <w:rPr>
          <w:rFonts w:ascii="Calibri" w:hAnsi="Calibri" w:cs="Calibri" w:hint="cs"/>
          <w:sz w:val="40"/>
          <w:szCs w:val="40"/>
          <w:rtl/>
          <w:lang w:eastAsia="en-US"/>
        </w:rPr>
        <w:t> </w:t>
      </w:r>
      <w:r w:rsidRPr="007934B4">
        <w:rPr>
          <w:rFonts w:cs="KFGQPC Uthman Taha Naskh" w:hint="cs"/>
          <w:sz w:val="40"/>
          <w:szCs w:val="40"/>
          <w:rtl/>
          <w:lang w:eastAsia="en-US"/>
        </w:rPr>
        <w:t xml:space="preserve">( رحمه الله تعالى ) </w:t>
      </w:r>
    </w:p>
    <w:p w14:paraId="7A8E612B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43329E57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07F142DB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4D9E7777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5359FB01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3DFF28FC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00D41A4D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6401ABC6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2F27C6CA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2401FBFE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7B2CF31F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0677E0C7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Times New Roman"/>
          <w:sz w:val="40"/>
          <w:szCs w:val="40"/>
          <w:rtl/>
          <w:lang w:eastAsia="en-US"/>
        </w:rPr>
        <w:t> </w:t>
      </w:r>
    </w:p>
    <w:p w14:paraId="3FF6F727" w14:textId="79C3A190" w:rsid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</w:p>
    <w:p w14:paraId="611A0839" w14:textId="77777777" w:rsidR="007934B4" w:rsidRDefault="007934B4" w:rsidP="003C159A">
      <w:pPr>
        <w:jc w:val="center"/>
        <w:rPr>
          <w:rFonts w:cs="Times New Roman"/>
          <w:sz w:val="40"/>
          <w:szCs w:val="40"/>
          <w:lang w:eastAsia="en-US"/>
        </w:rPr>
      </w:pPr>
    </w:p>
    <w:p w14:paraId="00746A3D" w14:textId="77777777" w:rsidR="003C159A" w:rsidRDefault="003C159A" w:rsidP="003C159A">
      <w:pPr>
        <w:jc w:val="center"/>
        <w:rPr>
          <w:rFonts w:cs="Times New Roman"/>
          <w:sz w:val="40"/>
          <w:szCs w:val="40"/>
          <w:lang w:eastAsia="en-US"/>
        </w:rPr>
      </w:pPr>
    </w:p>
    <w:p w14:paraId="0D2AAC9D" w14:textId="060A9EE2" w:rsidR="003C159A" w:rsidRPr="00150514" w:rsidRDefault="003C159A" w:rsidP="003C159A">
      <w:pPr>
        <w:jc w:val="center"/>
        <w:rPr>
          <w:rFonts w:asciiTheme="minorHAnsi" w:hAnsiTheme="minorHAnsi" w:cstheme="minorHAnsi"/>
          <w:sz w:val="40"/>
          <w:szCs w:val="40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40"/>
          <w:szCs w:val="40"/>
          <w:rtl/>
          <w:lang w:eastAsia="en-US"/>
        </w:rPr>
        <w:lastRenderedPageBreak/>
        <w:t> </w:t>
      </w:r>
      <w:r w:rsidRPr="00150514">
        <w:rPr>
          <w:rFonts w:asciiTheme="minorHAnsi" w:hAnsiTheme="minorHAnsi" w:cstheme="minorHAnsi"/>
          <w:sz w:val="40"/>
          <w:szCs w:val="40"/>
          <w:rtl/>
          <w:lang w:eastAsia="en-US"/>
        </w:rPr>
        <w:t xml:space="preserve">الأصول الستة لشيخ الإسلام محمد بن عبد الوهاب - رحمه الله - </w:t>
      </w:r>
    </w:p>
    <w:p w14:paraId="392CC233" w14:textId="77777777" w:rsidR="003C159A" w:rsidRPr="003C159A" w:rsidRDefault="003C159A" w:rsidP="003C159A">
      <w:pPr>
        <w:jc w:val="center"/>
        <w:rPr>
          <w:rFonts w:cs="Times New Roman"/>
          <w:sz w:val="40"/>
          <w:szCs w:val="40"/>
          <w:rtl/>
          <w:lang w:eastAsia="en-US"/>
        </w:rPr>
      </w:pPr>
      <w:r w:rsidRPr="003C159A">
        <w:rPr>
          <w:rFonts w:cs="Andalus" w:hint="cs"/>
          <w:b w:val="0"/>
          <w:bCs w:val="0"/>
          <w:sz w:val="40"/>
          <w:szCs w:val="40"/>
          <w:rtl/>
          <w:lang w:eastAsia="en-US"/>
        </w:rPr>
        <w:t>بسم الله الرحمن الرحيم</w:t>
      </w:r>
    </w:p>
    <w:p w14:paraId="0522FD17" w14:textId="00DC19E7" w:rsidR="003C159A" w:rsidRPr="00150514" w:rsidRDefault="003C159A" w:rsidP="003C159A">
      <w:pPr>
        <w:ind w:firstLine="720"/>
        <w:jc w:val="lowKashida"/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40"/>
          <w:szCs w:val="40"/>
          <w:rtl/>
          <w:lang w:eastAsia="en-US"/>
        </w:rPr>
        <w:t xml:space="preserve">قال الشيخ - رحمه الله - :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من أعجب العجاب وأكبر الآ</w:t>
      </w:r>
      <w:r w:rsidR="0043690B"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 w:bidi="ar-EG"/>
        </w:rPr>
        <w:t>ي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ات الدالة على قدرة الملك الغلاب</w:t>
      </w:r>
      <w:r w:rsidR="0043690B"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،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 xml:space="preserve"> ستة أصول بيَّنَها الله تعالى بياناً واضحاً للعوام فوق ما يظن الظانون ، ثم بعد هذا غلط فيها كثير من أذكياء العالم وعقلاء بني آدم إلا أقل القليل  .</w:t>
      </w:r>
    </w:p>
    <w:p w14:paraId="2A5417AD" w14:textId="77777777" w:rsidR="003C159A" w:rsidRPr="0043690B" w:rsidRDefault="003C159A" w:rsidP="003C159A">
      <w:pPr>
        <w:jc w:val="lowKashida"/>
        <w:rPr>
          <w:rFonts w:cs="KFGQPC Uthman Taha Naskh"/>
          <w:b w:val="0"/>
          <w:bCs w:val="0"/>
          <w:sz w:val="24"/>
          <w:szCs w:val="24"/>
          <w:rtl/>
          <w:lang w:eastAsia="en-US"/>
        </w:rPr>
      </w:pPr>
    </w:p>
    <w:p w14:paraId="771D03CA" w14:textId="77777777" w:rsidR="003C159A" w:rsidRPr="0043690B" w:rsidRDefault="003C159A" w:rsidP="003C159A">
      <w:pPr>
        <w:jc w:val="center"/>
        <w:outlineLvl w:val="0"/>
        <w:rPr>
          <w:rFonts w:cs="KFGQPC Uthman Taha Naskh"/>
          <w:kern w:val="36"/>
          <w:sz w:val="48"/>
          <w:szCs w:val="48"/>
          <w:rtl/>
          <w:lang w:eastAsia="en-US"/>
        </w:rPr>
      </w:pPr>
      <w:r w:rsidRPr="0043690B">
        <w:rPr>
          <w:rFonts w:cs="KFGQPC Uthman Taha Naskh" w:hint="cs"/>
          <w:kern w:val="36"/>
          <w:sz w:val="48"/>
          <w:szCs w:val="48"/>
          <w:rtl/>
          <w:lang w:eastAsia="en-US"/>
        </w:rPr>
        <w:t>الأصل الأول</w:t>
      </w:r>
    </w:p>
    <w:p w14:paraId="2F274236" w14:textId="77777777" w:rsidR="003C159A" w:rsidRPr="00150514" w:rsidRDefault="003C159A" w:rsidP="003C159A">
      <w:pPr>
        <w:ind w:firstLine="720"/>
        <w:jc w:val="lowKashida"/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 xml:space="preserve">إخلاص الدين لله وحده لا شريك له ، وبيان ضده الذي هو الشرك بالله ، وكون أكثر القرآن في بيان هذا الأصل من وجوه شتى ، بكلام يفهمه أبلد العامة ، ثم لما صار على أكثر الأمة ما صار ،  أظهر لهم الشيطان الإخلاص في صورة تنقص الصالحين ، والتقصير في حقهم ، وأظهر لهم الشرك بالله في صورة محبة الصالحين واتِّباعهم . </w:t>
      </w:r>
    </w:p>
    <w:p w14:paraId="1023E5C4" w14:textId="77777777" w:rsidR="003C159A" w:rsidRPr="0043690B" w:rsidRDefault="003C159A" w:rsidP="003C159A">
      <w:pPr>
        <w:jc w:val="lowKashida"/>
        <w:rPr>
          <w:rFonts w:cs="KFGQPC Uthman Taha Naskh"/>
          <w:b w:val="0"/>
          <w:bCs w:val="0"/>
          <w:sz w:val="24"/>
          <w:szCs w:val="24"/>
          <w:rtl/>
          <w:lang w:eastAsia="en-US"/>
        </w:rPr>
      </w:pPr>
      <w:r w:rsidRPr="0043690B">
        <w:rPr>
          <w:rFonts w:ascii="Calibri" w:hAnsi="Calibri" w:cs="Calibri" w:hint="cs"/>
          <w:b w:val="0"/>
          <w:bCs w:val="0"/>
          <w:sz w:val="24"/>
          <w:szCs w:val="24"/>
          <w:rtl/>
          <w:lang w:eastAsia="en-US"/>
        </w:rPr>
        <w:t> </w:t>
      </w:r>
    </w:p>
    <w:p w14:paraId="4C324301" w14:textId="77777777" w:rsidR="003C159A" w:rsidRPr="0043690B" w:rsidRDefault="003C159A" w:rsidP="003C159A">
      <w:pPr>
        <w:jc w:val="center"/>
        <w:rPr>
          <w:rFonts w:cs="KFGQPC Uthman Taha Naskh"/>
          <w:b w:val="0"/>
          <w:bCs w:val="0"/>
          <w:sz w:val="24"/>
          <w:szCs w:val="24"/>
          <w:rtl/>
          <w:lang w:eastAsia="en-US"/>
        </w:rPr>
      </w:pPr>
      <w:r w:rsidRPr="0043690B">
        <w:rPr>
          <w:rFonts w:cs="KFGQPC Uthman Taha Naskh" w:hint="cs"/>
          <w:sz w:val="48"/>
          <w:szCs w:val="48"/>
          <w:rtl/>
          <w:lang w:eastAsia="en-US"/>
        </w:rPr>
        <w:t>الأصل الثاني</w:t>
      </w:r>
    </w:p>
    <w:p w14:paraId="3F415D0C" w14:textId="77777777" w:rsidR="003C159A" w:rsidRPr="00150514" w:rsidRDefault="003C159A" w:rsidP="003C159A">
      <w:pPr>
        <w:ind w:firstLine="720"/>
        <w:jc w:val="lowKashida"/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أمر الله بالاجتماع في الدين ونهى عن التفرق فيه ، فبين الله هذا بياناً شافيا تفهمه العوام ، ونهانا أن نكون كالذين تفرقوا واختلفوا قبلنا فهلكوا ، وذكر أنه أمر المرسلين بالاجتماع في الدين ونهاهم عن التفرق فيه . ويزيده وضوحاً ما وردت به السنة من العجب العجاب في ذلك ، ثم صار الأمر إلى أن الافتراق في أصول الدين وفروعه هو العلم والفقه في الدين ، وصار الأمر بالاجتماع في الدين لا يقول به إلا زنديق أو مجنون !</w:t>
      </w:r>
    </w:p>
    <w:p w14:paraId="499B6D7A" w14:textId="77777777" w:rsidR="003C159A" w:rsidRPr="0043690B" w:rsidRDefault="003C159A" w:rsidP="003C159A">
      <w:pPr>
        <w:jc w:val="lowKashida"/>
        <w:rPr>
          <w:rFonts w:cs="KFGQPC Uthman Taha Naskh"/>
          <w:b w:val="0"/>
          <w:bCs w:val="0"/>
          <w:sz w:val="24"/>
          <w:szCs w:val="24"/>
          <w:rtl/>
          <w:lang w:eastAsia="en-US"/>
        </w:rPr>
      </w:pPr>
      <w:r w:rsidRPr="0043690B">
        <w:rPr>
          <w:rFonts w:ascii="Calibri" w:hAnsi="Calibri" w:cs="Calibri" w:hint="cs"/>
          <w:b w:val="0"/>
          <w:bCs w:val="0"/>
          <w:sz w:val="24"/>
          <w:szCs w:val="24"/>
          <w:rtl/>
          <w:lang w:eastAsia="en-US"/>
        </w:rPr>
        <w:t> </w:t>
      </w:r>
    </w:p>
    <w:p w14:paraId="6AC3AC2C" w14:textId="77777777" w:rsidR="003C159A" w:rsidRPr="0043690B" w:rsidRDefault="003C159A" w:rsidP="003C159A">
      <w:pPr>
        <w:jc w:val="center"/>
        <w:outlineLvl w:val="0"/>
        <w:rPr>
          <w:rFonts w:cs="KFGQPC Uthman Taha Naskh"/>
          <w:kern w:val="36"/>
          <w:sz w:val="48"/>
          <w:szCs w:val="48"/>
          <w:rtl/>
          <w:lang w:eastAsia="en-US"/>
        </w:rPr>
      </w:pPr>
      <w:r w:rsidRPr="0043690B">
        <w:rPr>
          <w:rFonts w:cs="KFGQPC Uthman Taha Naskh" w:hint="cs"/>
          <w:kern w:val="36"/>
          <w:sz w:val="48"/>
          <w:szCs w:val="48"/>
          <w:rtl/>
          <w:lang w:eastAsia="en-US"/>
        </w:rPr>
        <w:t>الأصل الثالث</w:t>
      </w:r>
    </w:p>
    <w:p w14:paraId="6FB0FF6E" w14:textId="5046CD6F" w:rsidR="003C159A" w:rsidRPr="00150514" w:rsidRDefault="0043690B" w:rsidP="0043690B">
      <w:pPr>
        <w:jc w:val="lowKashida"/>
        <w:rPr>
          <w:rFonts w:asciiTheme="majorHAnsi" w:hAnsiTheme="majorHAnsi" w:cstheme="maj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ajorHAnsi" w:hAnsiTheme="majorHAnsi" w:cstheme="majorHAnsi"/>
          <w:sz w:val="32"/>
          <w:szCs w:val="32"/>
          <w:lang w:eastAsia="en-US"/>
        </w:rPr>
        <w:t xml:space="preserve">    </w:t>
      </w:r>
      <w:r w:rsidR="003C159A" w:rsidRPr="00150514">
        <w:rPr>
          <w:rFonts w:asciiTheme="majorHAnsi" w:hAnsiTheme="majorHAnsi" w:cstheme="majorHAnsi"/>
          <w:sz w:val="32"/>
          <w:szCs w:val="32"/>
          <w:rtl/>
          <w:lang w:eastAsia="en-US"/>
        </w:rPr>
        <w:t>أن من تمام الاجتماع : السمع والطاعة لمن تأمر علينا ، ولو كان عبدا حبشيا ، فبـيَّن الله</w:t>
      </w:r>
      <w:r w:rsidRPr="00150514">
        <w:rPr>
          <w:rFonts w:asciiTheme="majorHAnsi" w:hAnsiTheme="majorHAnsi" w:cstheme="majorHAnsi"/>
          <w:sz w:val="32"/>
          <w:szCs w:val="32"/>
          <w:lang w:eastAsia="en-US"/>
        </w:rPr>
        <w:t xml:space="preserve"> </w:t>
      </w:r>
      <w:r w:rsidR="003C159A" w:rsidRPr="00150514">
        <w:rPr>
          <w:rFonts w:asciiTheme="majorHAnsi" w:hAnsiTheme="majorHAnsi" w:cstheme="majorHAnsi"/>
          <w:sz w:val="32"/>
          <w:szCs w:val="32"/>
          <w:rtl/>
          <w:lang w:eastAsia="en-US"/>
        </w:rPr>
        <w:t>هذا بياناً شافياً كافياً بوجوه من أنواع البيان شرعاً وقدراً ، ثم صار هذا الأصل لا يُعرف عند أكثر ممن يدعي العلم فكيف العمل به ؟!</w:t>
      </w:r>
    </w:p>
    <w:p w14:paraId="74440AEE" w14:textId="77777777" w:rsidR="003C159A" w:rsidRPr="0043690B" w:rsidRDefault="003C159A" w:rsidP="003C159A">
      <w:pPr>
        <w:jc w:val="center"/>
        <w:outlineLvl w:val="0"/>
        <w:rPr>
          <w:rFonts w:cs="KFGQPC Uthman Taha Naskh"/>
          <w:kern w:val="36"/>
          <w:sz w:val="48"/>
          <w:szCs w:val="48"/>
          <w:rtl/>
          <w:lang w:eastAsia="en-US"/>
        </w:rPr>
      </w:pPr>
    </w:p>
    <w:p w14:paraId="716442EB" w14:textId="77777777" w:rsidR="003C159A" w:rsidRPr="0043690B" w:rsidRDefault="003C159A" w:rsidP="003C159A">
      <w:pPr>
        <w:jc w:val="center"/>
        <w:outlineLvl w:val="0"/>
        <w:rPr>
          <w:rFonts w:cs="KFGQPC Uthman Taha Naskh"/>
          <w:kern w:val="36"/>
          <w:sz w:val="48"/>
          <w:szCs w:val="48"/>
          <w:rtl/>
          <w:lang w:eastAsia="en-US"/>
        </w:rPr>
      </w:pPr>
      <w:r w:rsidRPr="0043690B">
        <w:rPr>
          <w:rFonts w:cs="KFGQPC Uthman Taha Naskh" w:hint="cs"/>
          <w:kern w:val="36"/>
          <w:sz w:val="48"/>
          <w:szCs w:val="48"/>
          <w:rtl/>
          <w:lang w:eastAsia="en-US"/>
        </w:rPr>
        <w:t>الأصل الرابع</w:t>
      </w:r>
    </w:p>
    <w:p w14:paraId="2E683851" w14:textId="77777777" w:rsidR="003C159A" w:rsidRPr="00150514" w:rsidRDefault="003C159A" w:rsidP="003C159A">
      <w:pPr>
        <w:ind w:firstLine="720"/>
        <w:jc w:val="lowKashida"/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بيان العام والعلماء ، والفقه والفقهاء ، وبيان من تشبه بهم وليس منهم . وقد بين الله هذا الأصل في أول سورة البقرة من قوله :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يَا بَنِي إِسْرائيلَ اذْكُرُوا نِعْمَتِيَ الَّتِي أَنْعَمْتُ عَلَيْكُم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(البقرة: من الآية40) ،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إلى قوله قبل ذكر إبراهيم - عليه السلام - :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يَا بَنِي إِسْرائيلَ اذْكُرُوا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(البقرة: من الآية122)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 xml:space="preserve">كالآية الأولى ، ويزيده وضوحاً : ما صرَّحتْ به السنة في هذا من الكلام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lastRenderedPageBreak/>
        <w:t>الكثير البيِّن الواضح للعامي البليد ، ثم صار هذا أغرب الأشياء ! وصار العلم والفقه هو البدع والضلالات ، وخيار ما عندهم :لبس الحق بالباطل ! وصار العلم الذي فرضه الله على الخلق ومدحه ، لا يتفوه به إلا زنديق أو مجنون ! ، وصار من أنكره وعاداه وجدَّ في التحذير عنه ، والنهي عنه ؛ هو الفقيه العالم !! .</w:t>
      </w:r>
    </w:p>
    <w:p w14:paraId="6F455A82" w14:textId="77777777" w:rsidR="003C159A" w:rsidRPr="0043690B" w:rsidRDefault="003C159A" w:rsidP="003C159A">
      <w:pPr>
        <w:jc w:val="center"/>
        <w:outlineLvl w:val="1"/>
        <w:rPr>
          <w:rFonts w:cs="KFGQPC Uthman Taha Naskh"/>
          <w:sz w:val="40"/>
          <w:szCs w:val="40"/>
          <w:rtl/>
          <w:lang w:eastAsia="en-US"/>
        </w:rPr>
      </w:pPr>
      <w:r w:rsidRPr="0043690B">
        <w:rPr>
          <w:rFonts w:cs="KFGQPC Uthman Taha Naskh" w:hint="cs"/>
          <w:sz w:val="48"/>
          <w:szCs w:val="48"/>
          <w:rtl/>
          <w:lang w:eastAsia="en-US"/>
        </w:rPr>
        <w:t>الأصل الخامس</w:t>
      </w:r>
    </w:p>
    <w:p w14:paraId="52AE1A52" w14:textId="77777777" w:rsidR="003C159A" w:rsidRPr="00150514" w:rsidRDefault="003C159A" w:rsidP="003C159A">
      <w:pPr>
        <w:ind w:firstLine="720"/>
        <w:jc w:val="lowKashida"/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بيان الله سبحانه للأولياء ، وتفريقه بينهم وبين المتشبهين بهم من أعدائه المنافقين والفجار . ويكفي في هذا آية ( آل عمران ) ، وهي قوله تعالى :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قُلْ إِنْ كُنْتُمْ تُحِبُّونَ اللَّهَ فَاتَّبِعُونِي يُحْبِبْكُمُ اللَّهُ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cs="KFGQPC Uthman Taha Naskh" w:hint="cs"/>
          <w:b w:val="0"/>
          <w:bCs w:val="0"/>
          <w:sz w:val="24"/>
          <w:szCs w:val="24"/>
          <w:rtl/>
          <w:lang w:eastAsia="en-US"/>
        </w:rPr>
        <w:t xml:space="preserve">(آل عمران:31)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، والآية التي في المائدة وهي قوله تعالى :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يَا أَيُّهَا الَّذِينَ آمَنُوا مَنْ يَرْتَدَّ مِنْكُمْ عَنْ دِينِهِ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cs="KFGQPC Uthman Taha Naskh" w:hint="cs"/>
          <w:b w:val="0"/>
          <w:bCs w:val="0"/>
          <w:sz w:val="24"/>
          <w:szCs w:val="24"/>
          <w:rtl/>
          <w:lang w:eastAsia="en-US"/>
        </w:rPr>
        <w:t>(المائدة: من الآية54)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، وآية في سورة يونس وهي قوله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: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أَلا إِنَّ أَوْلِيَاءَ اللَّهِ لا خَوْفٌ عَلَيْهِمْ وَلا هُمْ يَحْزَنُونَ * الَّذِينَ آمَنُوا وَكَانُوا يَتَّقُونَ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cs="KFGQPC Uthman Taha Naskh" w:hint="cs"/>
          <w:b w:val="0"/>
          <w:bCs w:val="0"/>
          <w:sz w:val="24"/>
          <w:szCs w:val="24"/>
          <w:rtl/>
          <w:lang w:eastAsia="en-US"/>
        </w:rPr>
        <w:t>(يونس:62-63)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، 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ثم صار الأمر عند أكثر من يدعي العلم وأنه من هُداة الخلق ، وحفاظ الشرع ، إلى أن الأولياء لا بد فيهم من ترك اتباع الرسول ، ومن اتبعه فليس منهم ! ولا بد من ترك الجهاد ، فمن جاهد فليس منهم ! ولا بد من ترك الإيمان والتقوى ! فمن تقيد بالإيمان والتقوى ، فليس منهم ! يا ربنا إن نسألك العفو والعافية ، إنك سميع الدعاء .</w:t>
      </w:r>
    </w:p>
    <w:p w14:paraId="7C34A79C" w14:textId="77777777" w:rsidR="003C159A" w:rsidRPr="0043690B" w:rsidRDefault="003C159A" w:rsidP="003C159A">
      <w:pPr>
        <w:jc w:val="center"/>
        <w:outlineLvl w:val="0"/>
        <w:rPr>
          <w:rFonts w:cs="KFGQPC Uthman Taha Naskh"/>
          <w:kern w:val="36"/>
          <w:sz w:val="48"/>
          <w:szCs w:val="48"/>
          <w:rtl/>
          <w:lang w:eastAsia="en-US"/>
        </w:rPr>
      </w:pPr>
      <w:r w:rsidRPr="0043690B">
        <w:rPr>
          <w:rFonts w:cs="KFGQPC Uthman Taha Naskh" w:hint="cs"/>
          <w:kern w:val="36"/>
          <w:sz w:val="48"/>
          <w:szCs w:val="48"/>
          <w:rtl/>
          <w:lang w:eastAsia="en-US"/>
        </w:rPr>
        <w:t>الأصل السادس</w:t>
      </w:r>
      <w:r w:rsidRPr="0043690B">
        <w:rPr>
          <w:rFonts w:ascii="Calibri" w:hAnsi="Calibri" w:cs="Calibri" w:hint="cs"/>
          <w:kern w:val="36"/>
          <w:sz w:val="48"/>
          <w:szCs w:val="48"/>
          <w:rtl/>
          <w:lang w:eastAsia="en-US"/>
        </w:rPr>
        <w:t>   </w:t>
      </w:r>
      <w:r w:rsidRPr="0043690B">
        <w:rPr>
          <w:rFonts w:cs="KFGQPC Uthman Taha Naskh" w:hint="cs"/>
          <w:kern w:val="36"/>
          <w:sz w:val="48"/>
          <w:szCs w:val="48"/>
          <w:rtl/>
          <w:lang w:eastAsia="en-US"/>
        </w:rPr>
        <w:t xml:space="preserve"> </w:t>
      </w:r>
    </w:p>
    <w:p w14:paraId="60D9CCC2" w14:textId="77777777" w:rsidR="00150514" w:rsidRDefault="003C159A" w:rsidP="003C159A">
      <w:pPr>
        <w:ind w:firstLine="720"/>
        <w:jc w:val="lowKashida"/>
        <w:rPr>
          <w:rFonts w:cs="KFGQPC Uthman Taha Naskh"/>
          <w:b w:val="0"/>
          <w:bCs w:val="0"/>
          <w:sz w:val="24"/>
          <w:szCs w:val="24"/>
          <w:lang w:eastAsia="en-US"/>
        </w:rPr>
      </w:pP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 xml:space="preserve">ردُّ الشبهة التي وضعها الشيطان ، في ترك القرآن والسنة ، واتباع الآراء والأهواء المتفرقة المختلفة ، وهي : أن القرآن والسنة لا يعرفهما إلا المجتهد المطلق ؛ والمجتهد هو : الموصوف بكذا و كذا ، أوصافاً لعلها لا توجد تامة في أبي بكر وعمر ! فإن لم يكن الإنسان كذلك ؛ فلْيُعرِضْ عنهما فرضاً حتماً لا شك ولا إشكال فيه ، ومن طلب الهدى منهما ؛ فهو إما زنديق ، وإما مجنون ، لأجل صعوبة فهمهما !! فسبحان الله وبحمده : كم بيَّن الله سبحانه شرعاً وقَدَرَاً ، خلقاً وأمراً في رد هذه الشبهة الملعونة من وجوه شتى ، بلغت إلى حدِّ </w:t>
      </w:r>
      <w:r w:rsidR="00150514"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>الضروريات</w:t>
      </w:r>
      <w:r w:rsidRPr="00150514">
        <w:rPr>
          <w:rFonts w:asciiTheme="minorHAnsi" w:hAnsiTheme="minorHAnsi" w:cstheme="minorHAnsi"/>
          <w:b w:val="0"/>
          <w:bCs w:val="0"/>
          <w:sz w:val="32"/>
          <w:szCs w:val="32"/>
          <w:rtl/>
          <w:lang w:eastAsia="en-US"/>
        </w:rPr>
        <w:t xml:space="preserve"> العامة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وَلَكِنَّ أَكْثَرَ النَّاسِ لا يَعْلَمُونَ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(الأعراف: من الآية187)،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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لَقَدْ حَقَّ الْقَوْلُ عَلَى أَكْثَرِهِمْ فَهُمْ لا يُؤْمِنُونَ * إِنَّا جَعَلْنَا فِي أَعْنَاقِهِمْ أَغْلالاً فَهِيَ إِلَى الْأَذْقَانِ فَهُمْ مُقْمَحُونَ </w:t>
      </w:r>
      <w:r w:rsidRPr="0043690B">
        <w:rPr>
          <w:rFonts w:ascii="AGA Arabesque" w:hAnsi="AGA Arabesque" w:cs="KFGQPC Uthman Taha Naskh"/>
          <w:b w:val="0"/>
          <w:bCs w:val="0"/>
          <w:sz w:val="32"/>
          <w:szCs w:val="32"/>
          <w:lang w:eastAsia="en-US"/>
        </w:rPr>
        <w:t>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، إلى قوله :</w:t>
      </w:r>
      <w:r w:rsidRPr="0043690B">
        <w:rPr>
          <w:rFonts w:ascii="Calibri" w:hAnsi="Calibri" w:cs="Calibri" w:hint="cs"/>
          <w:b w:val="0"/>
          <w:bCs w:val="0"/>
          <w:sz w:val="32"/>
          <w:szCs w:val="32"/>
          <w:rtl/>
          <w:lang w:eastAsia="en-US"/>
        </w:rPr>
        <w:t> </w:t>
      </w:r>
      <w:r w:rsidRPr="0043690B">
        <w:rPr>
          <w:rFonts w:cs="KFGQPC Uthman Taha Naskh" w:hint="cs"/>
          <w:b w:val="0"/>
          <w:bCs w:val="0"/>
          <w:sz w:val="32"/>
          <w:szCs w:val="32"/>
          <w:rtl/>
          <w:lang w:eastAsia="en-US"/>
        </w:rPr>
        <w:t xml:space="preserve"> </w:t>
      </w:r>
      <w:r w:rsidRPr="007A038C">
        <w:rPr>
          <w:rFonts w:ascii="AGA Arabesque" w:hAnsi="AGA Arabesque" w:cs="KFGQPC Uthman Taha Naskh"/>
          <w:b w:val="0"/>
          <w:bCs w:val="0"/>
          <w:sz w:val="30"/>
          <w:szCs w:val="28"/>
          <w:lang w:eastAsia="en-US"/>
        </w:rPr>
        <w:t></w:t>
      </w:r>
      <w:r w:rsidRPr="007A038C">
        <w:rPr>
          <w:rFonts w:cs="KFGQPC Uthman Taha Naskh" w:hint="cs"/>
          <w:b w:val="0"/>
          <w:bCs w:val="0"/>
          <w:sz w:val="28"/>
          <w:szCs w:val="28"/>
          <w:rtl/>
          <w:lang w:eastAsia="en-US"/>
        </w:rPr>
        <w:t xml:space="preserve"> فَبَشِّرْهُ بِمَغْفِرَةٍ وَأَجْرٍ كَرِيمٍ </w:t>
      </w:r>
      <w:r w:rsidRPr="007A038C">
        <w:rPr>
          <w:rFonts w:ascii="AGA Arabesque" w:hAnsi="AGA Arabesque" w:cs="KFGQPC Uthman Taha Naskh"/>
          <w:b w:val="0"/>
          <w:bCs w:val="0"/>
          <w:sz w:val="30"/>
          <w:szCs w:val="28"/>
          <w:lang w:eastAsia="en-US"/>
        </w:rPr>
        <w:t></w:t>
      </w:r>
      <w:r w:rsidRPr="007A038C">
        <w:rPr>
          <w:rFonts w:cs="KFGQPC Uthman Taha Naskh" w:hint="cs"/>
          <w:b w:val="0"/>
          <w:bCs w:val="0"/>
          <w:sz w:val="28"/>
          <w:szCs w:val="28"/>
          <w:rtl/>
          <w:lang w:eastAsia="en-US"/>
        </w:rPr>
        <w:t xml:space="preserve"> </w:t>
      </w:r>
      <w:r w:rsidRPr="007A038C">
        <w:rPr>
          <w:rFonts w:cs="KFGQPC Uthman Taha Naskh" w:hint="cs"/>
          <w:b w:val="0"/>
          <w:bCs w:val="0"/>
          <w:sz w:val="22"/>
          <w:szCs w:val="22"/>
          <w:rtl/>
          <w:lang w:eastAsia="en-US"/>
        </w:rPr>
        <w:t xml:space="preserve">(يّـس:7-11) </w:t>
      </w:r>
      <w:r w:rsidRPr="0043690B">
        <w:rPr>
          <w:rFonts w:cs="KFGQPC Uthman Taha Naskh" w:hint="cs"/>
          <w:b w:val="0"/>
          <w:bCs w:val="0"/>
          <w:sz w:val="24"/>
          <w:szCs w:val="24"/>
          <w:rtl/>
          <w:lang w:eastAsia="en-US"/>
        </w:rPr>
        <w:t>.</w:t>
      </w:r>
    </w:p>
    <w:p w14:paraId="0B0EF420" w14:textId="27541C98" w:rsidR="003C159A" w:rsidRPr="0043690B" w:rsidRDefault="003C159A" w:rsidP="003C159A">
      <w:pPr>
        <w:ind w:firstLine="720"/>
        <w:jc w:val="lowKashida"/>
        <w:rPr>
          <w:rFonts w:cs="KFGQPC Uthman Taha Naskh" w:hint="cs"/>
          <w:b w:val="0"/>
          <w:bCs w:val="0"/>
          <w:sz w:val="24"/>
          <w:szCs w:val="24"/>
          <w:rtl/>
          <w:lang w:eastAsia="en-US" w:bidi="ar-EG"/>
        </w:rPr>
      </w:pPr>
      <w:r w:rsidRPr="0043690B">
        <w:rPr>
          <w:rFonts w:cs="KFGQPC Uthman Taha Naskh"/>
          <w:b w:val="0"/>
          <w:bCs w:val="0"/>
          <w:sz w:val="24"/>
          <w:szCs w:val="24"/>
          <w:rtl/>
          <w:lang w:eastAsia="en-US"/>
        </w:rPr>
        <w:br w:type="textWrapping" w:clear="all"/>
      </w:r>
      <w:r w:rsidRPr="0043690B">
        <w:rPr>
          <w:rFonts w:ascii="Calibri" w:hAnsi="Calibri" w:cs="Calibri" w:hint="cs"/>
          <w:b w:val="0"/>
          <w:bCs w:val="0"/>
          <w:sz w:val="24"/>
          <w:szCs w:val="24"/>
          <w:rtl/>
          <w:lang w:eastAsia="en-US"/>
        </w:rPr>
        <w:t> </w:t>
      </w:r>
      <w:r w:rsidRPr="0043690B">
        <w:rPr>
          <w:rFonts w:cs="KFGQPC Uthman Taha Naskh"/>
          <w:b w:val="0"/>
          <w:bCs w:val="0"/>
          <w:sz w:val="24"/>
          <w:szCs w:val="24"/>
          <w:rtl/>
          <w:lang w:eastAsia="en-US"/>
        </w:rPr>
        <w:t xml:space="preserve"> </w:t>
      </w:r>
    </w:p>
    <w:sectPr w:rsidR="003C159A" w:rsidRPr="0043690B" w:rsidSect="000519A6">
      <w:pgSz w:w="11906" w:h="16838"/>
      <w:pgMar w:top="1170" w:right="1286" w:bottom="1440" w:left="126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6D"/>
    <w:rsid w:val="000519A6"/>
    <w:rsid w:val="00150514"/>
    <w:rsid w:val="003C159A"/>
    <w:rsid w:val="0043690B"/>
    <w:rsid w:val="004561A5"/>
    <w:rsid w:val="00680165"/>
    <w:rsid w:val="007934B4"/>
    <w:rsid w:val="007A038C"/>
    <w:rsid w:val="008655CD"/>
    <w:rsid w:val="008F706D"/>
    <w:rsid w:val="009456BA"/>
    <w:rsid w:val="00A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CFA7A"/>
  <w15:chartTrackingRefBased/>
  <w15:docId w15:val="{A4B7485B-779F-4F3B-A848-E33C31A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raditional Arabic"/>
      <w:b/>
      <w:bCs/>
      <w:szCs w:val="38"/>
      <w:lang w:eastAsia="ar-SA"/>
    </w:rPr>
  </w:style>
  <w:style w:type="paragraph" w:styleId="Heading1">
    <w:name w:val="heading 1"/>
    <w:basedOn w:val="Normal"/>
    <w:qFormat/>
    <w:rsid w:val="003C159A"/>
    <w:pPr>
      <w:jc w:val="center"/>
      <w:outlineLvl w:val="0"/>
    </w:pPr>
    <w:rPr>
      <w:rFonts w:cs="Times New Roman"/>
      <w:kern w:val="36"/>
      <w:sz w:val="48"/>
      <w:szCs w:val="48"/>
      <w:lang w:eastAsia="en-US"/>
    </w:rPr>
  </w:style>
  <w:style w:type="paragraph" w:styleId="Heading2">
    <w:name w:val="heading 2"/>
    <w:basedOn w:val="Normal"/>
    <w:qFormat/>
    <w:rsid w:val="003C159A"/>
    <w:pPr>
      <w:jc w:val="center"/>
      <w:outlineLvl w:val="1"/>
    </w:pPr>
    <w:rPr>
      <w:rFonts w:cs="Times New Roman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159A"/>
    <w:pPr>
      <w:jc w:val="center"/>
    </w:pPr>
    <w:rPr>
      <w:rFonts w:cs="Times New Roman"/>
      <w:sz w:val="40"/>
      <w:szCs w:val="40"/>
      <w:lang w:eastAsia="en-US"/>
    </w:rPr>
  </w:style>
  <w:style w:type="paragraph" w:styleId="Subtitle">
    <w:name w:val="Subtitle"/>
    <w:basedOn w:val="Normal"/>
    <w:qFormat/>
    <w:rsid w:val="003C159A"/>
    <w:pPr>
      <w:jc w:val="center"/>
    </w:pPr>
    <w:rPr>
      <w:rFonts w:cs="Times New Roman"/>
      <w:sz w:val="40"/>
      <w:szCs w:val="40"/>
      <w:lang w:eastAsia="en-US"/>
    </w:rPr>
  </w:style>
  <w:style w:type="paragraph" w:styleId="FootnoteText">
    <w:name w:val="footnote text"/>
    <w:basedOn w:val="Normal"/>
    <w:rsid w:val="003C159A"/>
    <w:rPr>
      <w:rFonts w:cs="Times New Roman"/>
      <w:b w:val="0"/>
      <w:bCs w:val="0"/>
      <w:szCs w:val="20"/>
      <w:lang w:eastAsia="en-US"/>
    </w:rPr>
  </w:style>
  <w:style w:type="character" w:styleId="FootnoteReference">
    <w:name w:val="footnote reference"/>
    <w:basedOn w:val="DefaultParagraphFont"/>
    <w:rsid w:val="003C159A"/>
    <w:rPr>
      <w:vertAlign w:val="superscript"/>
    </w:rPr>
  </w:style>
  <w:style w:type="character" w:styleId="Hyperlink">
    <w:name w:val="Hyperlink"/>
    <w:basedOn w:val="DefaultParagraphFont"/>
    <w:rsid w:val="003C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الأصول الستة </vt:lpstr>
    </vt:vector>
  </TitlesOfParts>
  <Company>LibyanGate</Company>
  <LinksUpToDate>false</LinksUpToDate>
  <CharactersWithSpaces>3798</CharactersWithSpaces>
  <SharedDoc>false</SharedDoc>
  <HLinks>
    <vt:vector size="12" baseType="variant"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http://salafiduroos.net/new2/arbooks/alusoolalsitta.htm?PHPSESSID=b00b14086ac1d27aa61de2337bb321be</vt:lpwstr>
      </vt:variant>
      <vt:variant>
        <vt:lpwstr>_ftnref1</vt:lpwstr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http://salafiduroos.net/new2/arbooks/alusoolalsitta.htm?PHPSESSID=b00b14086ac1d27aa61de2337bb321be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الأصول الستة</dc:title>
  <dc:subject/>
  <dc:creator>كاتب الملف</dc:creator>
  <cp:keywords/>
  <dc:description/>
  <cp:lastModifiedBy>mahel</cp:lastModifiedBy>
  <cp:revision>8</cp:revision>
  <dcterms:created xsi:type="dcterms:W3CDTF">2020-10-28T12:17:00Z</dcterms:created>
  <dcterms:modified xsi:type="dcterms:W3CDTF">2020-10-28T14:36:00Z</dcterms:modified>
</cp:coreProperties>
</file>