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D83ED9" w:rsidRPr="00263B5D" w:rsidRDefault="00D83ED9" w:rsidP="00D83ED9">
      <w:pPr>
        <w:bidi w:val="0"/>
        <w:spacing w:after="0" w:line="240" w:lineRule="auto"/>
        <w:ind w:firstLine="113"/>
        <w:jc w:val="center"/>
        <w:rPr>
          <w:rFonts w:ascii="Times New Roman" w:hAnsi="Times New Roman" w:cs="Times New Roman"/>
          <w:color w:val="006666"/>
          <w:sz w:val="72"/>
          <w:szCs w:val="72"/>
          <w:lang w:val="ru-RU" w:bidi="ar-EG"/>
        </w:rPr>
      </w:pPr>
      <w:r w:rsidRPr="00263B5D">
        <w:rPr>
          <w:rFonts w:ascii="Times New Roman" w:hAnsi="Times New Roman" w:cs="Times New Roman"/>
          <w:color w:val="006666"/>
          <w:sz w:val="72"/>
          <w:szCs w:val="72"/>
          <w:lang w:val="ru-RU" w:bidi="ar-EG"/>
        </w:rPr>
        <w:t>Назарияи «Ваҳдатул-вуҷуд»-и Ибни Арабӣ ва ирфону фалсафа</w:t>
      </w:r>
      <w:r w:rsidRPr="00D83ED9">
        <w:rPr>
          <w:rFonts w:ascii="Times New Roman" w:hAnsi="Times New Roman" w:cs="Times New Roman" w:hint="cs"/>
          <w:color w:val="006666"/>
          <w:sz w:val="72"/>
          <w:szCs w:val="72"/>
          <w:rtl/>
          <w:lang w:bidi="ar-EG"/>
        </w:rPr>
        <w:t xml:space="preserve"> </w:t>
      </w:r>
    </w:p>
    <w:p w:rsidR="00D83ED9" w:rsidRDefault="00D83ED9" w:rsidP="0073613D">
      <w:pPr>
        <w:spacing w:after="0" w:line="240" w:lineRule="auto"/>
        <w:ind w:firstLine="113"/>
        <w:jc w:val="center"/>
        <w:rPr>
          <w:rFonts w:ascii="Times New Roman" w:hAnsi="Times New Roman" w:cs="KFGQPC Uthman Taha Naskh"/>
          <w:sz w:val="40"/>
          <w:szCs w:val="40"/>
          <w:lang w:bidi="ar-EG"/>
        </w:rPr>
      </w:pPr>
      <w:r w:rsidRPr="00D83ED9">
        <w:rPr>
          <w:rFonts w:ascii="Times New Roman" w:hAnsi="Times New Roman" w:cs="KFGQPC Uthman Taha Naskh" w:hint="cs"/>
          <w:sz w:val="40"/>
          <w:szCs w:val="40"/>
          <w:rtl/>
          <w:lang w:bidi="ar-EG"/>
        </w:rPr>
        <w:t>عقيدة</w:t>
      </w:r>
      <w:r w:rsidRPr="00D83ED9">
        <w:rPr>
          <w:rFonts w:ascii="Times New Roman" w:hAnsi="Times New Roman" w:cs="KFGQPC Uthman Taha Naskh"/>
          <w:sz w:val="40"/>
          <w:szCs w:val="40"/>
          <w:rtl/>
          <w:lang w:bidi="ar-EG"/>
        </w:rPr>
        <w:t xml:space="preserve"> </w:t>
      </w:r>
      <w:r w:rsidRPr="00D83ED9">
        <w:rPr>
          <w:rFonts w:ascii="Times New Roman" w:hAnsi="Times New Roman" w:cs="KFGQPC Uthman Taha Naskh" w:hint="cs"/>
          <w:sz w:val="40"/>
          <w:szCs w:val="40"/>
          <w:rtl/>
          <w:lang w:bidi="ar-EG"/>
        </w:rPr>
        <w:t>وحدة</w:t>
      </w:r>
      <w:r w:rsidRPr="00D83ED9">
        <w:rPr>
          <w:rFonts w:ascii="Times New Roman" w:hAnsi="Times New Roman" w:cs="KFGQPC Uthman Taha Naskh"/>
          <w:sz w:val="40"/>
          <w:szCs w:val="40"/>
          <w:rtl/>
          <w:lang w:bidi="ar-EG"/>
        </w:rPr>
        <w:t xml:space="preserve"> </w:t>
      </w:r>
      <w:r w:rsidRPr="00D83ED9">
        <w:rPr>
          <w:rFonts w:ascii="Times New Roman" w:hAnsi="Times New Roman" w:cs="KFGQPC Uthman Taha Naskh" w:hint="cs"/>
          <w:sz w:val="40"/>
          <w:szCs w:val="40"/>
          <w:rtl/>
          <w:lang w:bidi="ar-EG"/>
        </w:rPr>
        <w:t>الوجود</w:t>
      </w:r>
      <w:r w:rsidRPr="00D83ED9">
        <w:rPr>
          <w:rFonts w:ascii="Times New Roman" w:hAnsi="Times New Roman" w:cs="KFGQPC Uthman Taha Naskh"/>
          <w:sz w:val="40"/>
          <w:szCs w:val="40"/>
          <w:rtl/>
          <w:lang w:bidi="ar-EG"/>
        </w:rPr>
        <w:t xml:space="preserve"> </w:t>
      </w:r>
      <w:r w:rsidRPr="00D83ED9">
        <w:rPr>
          <w:rFonts w:ascii="Times New Roman" w:hAnsi="Times New Roman" w:cs="KFGQPC Uthman Taha Naskh" w:hint="cs"/>
          <w:sz w:val="40"/>
          <w:szCs w:val="40"/>
          <w:rtl/>
          <w:lang w:bidi="ar-EG"/>
        </w:rPr>
        <w:t>الكفرية</w:t>
      </w:r>
      <w:r w:rsidRPr="00D83ED9">
        <w:rPr>
          <w:rFonts w:ascii="Times New Roman" w:hAnsi="Times New Roman" w:cs="KFGQPC Uthman Taha Naskh"/>
          <w:sz w:val="40"/>
          <w:szCs w:val="40"/>
          <w:rtl/>
          <w:lang w:bidi="ar-EG"/>
        </w:rPr>
        <w:t xml:space="preserve">  </w:t>
      </w:r>
      <w:r w:rsidRPr="00D83ED9">
        <w:rPr>
          <w:rFonts w:ascii="Times New Roman" w:hAnsi="Times New Roman" w:cs="KFGQPC Uthman Taha Naskh" w:hint="cs"/>
          <w:sz w:val="40"/>
          <w:szCs w:val="40"/>
          <w:rtl/>
          <w:lang w:bidi="ar-EG"/>
        </w:rPr>
        <w:t>و</w:t>
      </w:r>
      <w:r w:rsidRPr="00D83ED9">
        <w:rPr>
          <w:rFonts w:ascii="Times New Roman" w:hAnsi="Times New Roman" w:cs="KFGQPC Uthman Taha Naskh"/>
          <w:sz w:val="40"/>
          <w:szCs w:val="40"/>
          <w:rtl/>
          <w:lang w:bidi="ar-EG"/>
        </w:rPr>
        <w:t xml:space="preserve"> </w:t>
      </w:r>
      <w:r w:rsidRPr="00D83ED9">
        <w:rPr>
          <w:rFonts w:ascii="Times New Roman" w:hAnsi="Times New Roman" w:cs="KFGQPC Uthman Taha Naskh" w:hint="cs"/>
          <w:sz w:val="40"/>
          <w:szCs w:val="40"/>
          <w:rtl/>
          <w:lang w:bidi="ar-EG"/>
        </w:rPr>
        <w:t>زندقة</w:t>
      </w:r>
      <w:r w:rsidRPr="00D83ED9">
        <w:rPr>
          <w:rFonts w:ascii="Times New Roman" w:hAnsi="Times New Roman" w:cs="KFGQPC Uthman Taha Naskh"/>
          <w:sz w:val="40"/>
          <w:szCs w:val="40"/>
          <w:rtl/>
          <w:lang w:bidi="ar-EG"/>
        </w:rPr>
        <w:t xml:space="preserve"> </w:t>
      </w:r>
      <w:r w:rsidRPr="00D83ED9">
        <w:rPr>
          <w:rFonts w:ascii="Times New Roman" w:hAnsi="Times New Roman" w:cs="KFGQPC Uthman Taha Naskh" w:hint="cs"/>
          <w:sz w:val="40"/>
          <w:szCs w:val="40"/>
          <w:rtl/>
          <w:lang w:bidi="ar-EG"/>
        </w:rPr>
        <w:t>ابن</w:t>
      </w:r>
      <w:r w:rsidRPr="00D83ED9">
        <w:rPr>
          <w:rFonts w:ascii="Times New Roman" w:hAnsi="Times New Roman" w:cs="KFGQPC Uthman Taha Naskh"/>
          <w:sz w:val="40"/>
          <w:szCs w:val="40"/>
          <w:rtl/>
          <w:lang w:bidi="ar-EG"/>
        </w:rPr>
        <w:t xml:space="preserve"> </w:t>
      </w:r>
      <w:r w:rsidRPr="00D83ED9">
        <w:rPr>
          <w:rFonts w:ascii="Times New Roman" w:hAnsi="Times New Roman" w:cs="KFGQPC Uthman Taha Naskh" w:hint="cs"/>
          <w:sz w:val="40"/>
          <w:szCs w:val="40"/>
          <w:rtl/>
          <w:lang w:bidi="ar-EG"/>
        </w:rPr>
        <w:t>عربي</w:t>
      </w:r>
      <w:r w:rsidRPr="00D83ED9">
        <w:rPr>
          <w:rFonts w:ascii="Times New Roman" w:hAnsi="Times New Roman" w:cs="KFGQPC Uthman Taha Naskh"/>
          <w:sz w:val="40"/>
          <w:szCs w:val="40"/>
          <w:rtl/>
          <w:lang w:bidi="ar-EG"/>
        </w:rPr>
        <w:t xml:space="preserve"> </w:t>
      </w:r>
      <w:r w:rsidRPr="00D83ED9">
        <w:rPr>
          <w:rFonts w:ascii="Times New Roman" w:hAnsi="Times New Roman" w:cs="KFGQPC Uthman Taha Naskh" w:hint="cs"/>
          <w:sz w:val="40"/>
          <w:szCs w:val="40"/>
          <w:rtl/>
          <w:lang w:bidi="ar-EG"/>
        </w:rPr>
        <w:t>الملحد</w:t>
      </w:r>
      <w:r w:rsidRPr="00D83ED9">
        <w:rPr>
          <w:rFonts w:ascii="Times New Roman" w:hAnsi="Times New Roman" w:cs="KFGQPC Uthman Taha Naskh"/>
          <w:sz w:val="40"/>
          <w:szCs w:val="40"/>
          <w:rtl/>
          <w:lang w:bidi="ar-EG"/>
        </w:rPr>
        <w:t xml:space="preserve"> </w:t>
      </w:r>
    </w:p>
    <w:p w:rsidR="00316388" w:rsidRPr="0073613D" w:rsidRDefault="00B55A14" w:rsidP="0073613D">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7D662F" w:rsidRDefault="00B55A14" w:rsidP="007D662F">
      <w:pPr>
        <w:bidi w:val="0"/>
        <w:jc w:val="center"/>
        <w:rPr>
          <w:rFonts w:ascii="Times New Roman" w:hAnsi="Times New Roman" w:cs="Times New Roman"/>
          <w:color w:val="205B83"/>
          <w:sz w:val="20"/>
          <w:szCs w:val="20"/>
          <w:lang w:bidi="ar-EG"/>
        </w:rPr>
      </w:pPr>
      <w:r w:rsidRPr="00B55A14">
        <w:rPr>
          <w:rFonts w:ascii="Times New Roman" w:hAnsi="Times New Roman" w:cs="Times New Roman"/>
          <w:color w:val="006666"/>
          <w:sz w:val="48"/>
          <w:szCs w:val="48"/>
          <w:lang w:bidi="ar-EG"/>
        </w:rPr>
        <w:t>Муҳаммадазиз Раҷабӣ</w:t>
      </w:r>
    </w:p>
    <w:p w:rsidR="00316388" w:rsidRPr="00CD0FA1" w:rsidRDefault="00B55A14" w:rsidP="00316388">
      <w:pPr>
        <w:bidi w:val="0"/>
        <w:jc w:val="center"/>
        <w:rPr>
          <w:rFonts w:ascii="Times New Roman" w:hAnsi="Times New Roman" w:cs="Times New Roman"/>
          <w:color w:val="006666"/>
          <w:sz w:val="6"/>
          <w:szCs w:val="6"/>
          <w:lang w:bidi="ar-EG"/>
        </w:rPr>
      </w:pPr>
      <w:r w:rsidRPr="00B55A14">
        <w:rPr>
          <w:rFonts w:ascii="Times New Roman" w:hAnsi="Times New Roman" w:cs="KFGQPC Uthman Taha Naskh" w:hint="cs"/>
          <w:sz w:val="36"/>
          <w:szCs w:val="36"/>
          <w:rtl/>
          <w:lang w:bidi="ar-EG"/>
        </w:rPr>
        <w:t>محمد</w:t>
      </w:r>
      <w:r w:rsidRPr="00B55A14">
        <w:rPr>
          <w:rFonts w:ascii="Times New Roman" w:hAnsi="Times New Roman" w:cs="KFGQPC Uthman Taha Naskh"/>
          <w:sz w:val="36"/>
          <w:szCs w:val="36"/>
          <w:rtl/>
          <w:lang w:bidi="ar-EG"/>
        </w:rPr>
        <w:t xml:space="preserve"> </w:t>
      </w:r>
      <w:r w:rsidRPr="00B55A14">
        <w:rPr>
          <w:rFonts w:ascii="Times New Roman" w:hAnsi="Times New Roman" w:cs="KFGQPC Uthman Taha Naskh" w:hint="cs"/>
          <w:sz w:val="36"/>
          <w:szCs w:val="36"/>
          <w:rtl/>
          <w:lang w:bidi="ar-EG"/>
        </w:rPr>
        <w:t>عزيز</w:t>
      </w:r>
      <w:r w:rsidRPr="00B55A14">
        <w:rPr>
          <w:rFonts w:ascii="Times New Roman" w:hAnsi="Times New Roman" w:cs="KFGQPC Uthman Taha Naskh"/>
          <w:sz w:val="36"/>
          <w:szCs w:val="36"/>
          <w:rtl/>
          <w:lang w:bidi="ar-EG"/>
        </w:rPr>
        <w:t xml:space="preserve"> </w:t>
      </w:r>
      <w:r w:rsidRPr="00B55A14">
        <w:rPr>
          <w:rFonts w:ascii="Times New Roman" w:hAnsi="Times New Roman" w:cs="KFGQPC Uthman Taha Naskh" w:hint="cs"/>
          <w:sz w:val="36"/>
          <w:szCs w:val="36"/>
          <w:rtl/>
          <w:lang w:bidi="ar-EG"/>
        </w:rPr>
        <w:t>رجب</w:t>
      </w:r>
    </w:p>
    <w:p w:rsidR="00316388" w:rsidRPr="00CD0FA1" w:rsidRDefault="00316388" w:rsidP="00B55A14">
      <w:pPr>
        <w:bidi w:val="0"/>
        <w:rPr>
          <w:rFonts w:ascii="Times New Roman" w:hAnsi="Times New Roman" w:cs="Times New Roman"/>
          <w:color w:val="7F7F7F" w:themeColor="text1" w:themeTint="80"/>
          <w:sz w:val="12"/>
          <w:szCs w:val="12"/>
          <w:lang w:bidi="ar-EG"/>
        </w:rPr>
      </w:pPr>
    </w:p>
    <w:p w:rsidR="006B7C86" w:rsidRDefault="00316388" w:rsidP="00B55A14">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B55A14" w:rsidRDefault="00B55A14">
      <w:pPr>
        <w:bidi w:val="0"/>
        <w:rPr>
          <w:rFonts w:ascii="Times New Roman" w:hAnsi="Times New Roman" w:cs="Times New Roman"/>
          <w:color w:val="7F7F7F" w:themeColor="text1" w:themeTint="80"/>
          <w:sz w:val="52"/>
          <w:szCs w:val="52"/>
          <w:lang w:bidi="ar-EG"/>
        </w:rPr>
      </w:pPr>
      <w:r>
        <w:rPr>
          <w:rFonts w:ascii="Times New Roman" w:hAnsi="Times New Roman" w:cs="Times New Roman"/>
          <w:color w:val="7F7F7F" w:themeColor="text1" w:themeTint="80"/>
          <w:sz w:val="52"/>
          <w:szCs w:val="52"/>
          <w:lang w:bidi="ar-EG"/>
        </w:rPr>
        <w:br w:type="page"/>
      </w:r>
    </w:p>
    <w:p w:rsidR="00263B5D" w:rsidRDefault="00263B5D" w:rsidP="00D83ED9">
      <w:pPr>
        <w:bidi w:val="0"/>
        <w:jc w:val="center"/>
      </w:pPr>
    </w:p>
    <w:p w:rsidR="006B7C86" w:rsidRPr="00ED3D88" w:rsidRDefault="006B7C86" w:rsidP="00263B5D">
      <w:pPr>
        <w:bidi w:val="0"/>
        <w:jc w:val="center"/>
        <w:rPr>
          <w:rFonts w:asciiTheme="majorBidi" w:hAnsiTheme="majorBidi" w:cstheme="majorBidi"/>
          <w:color w:val="205B83"/>
          <w:sz w:val="30"/>
          <w:szCs w:val="30"/>
          <w:lang w:bidi="ar-EG"/>
        </w:rPr>
      </w:pPr>
      <w:bookmarkStart w:id="0" w:name="_GoBack"/>
      <w:bookmarkEnd w:id="0"/>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269EC311" wp14:editId="33AE1B26">
            <wp:simplePos x="0" y="0"/>
            <wp:positionH relativeFrom="margin">
              <wp:posOffset>1205230</wp:posOffset>
            </wp:positionH>
            <wp:positionV relativeFrom="paragraph">
              <wp:posOffset>239746</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D42BF" w:rsidRPr="00CD42BF">
        <w:t xml:space="preserve"> </w:t>
      </w:r>
      <w:r w:rsidR="00D83ED9" w:rsidRPr="00ED3D88">
        <w:rPr>
          <w:rFonts w:asciiTheme="majorBidi" w:hAnsiTheme="majorBidi" w:cstheme="majorBidi"/>
          <w:noProof/>
          <w:color w:val="5EA1A5"/>
          <w:sz w:val="30"/>
          <w:szCs w:val="30"/>
          <w:lang w:val="en-MY" w:eastAsia="en-MY"/>
        </w:rPr>
        <w:t>Назарияи «Ваҳдатул-вуҷуд»-и Ибни Арабӣ ва ирфону фалсафа</w:t>
      </w:r>
    </w:p>
    <w:p w:rsidR="00ED3D88" w:rsidRDefault="00ED3D88" w:rsidP="00D83ED9">
      <w:pPr>
        <w:tabs>
          <w:tab w:val="left" w:pos="753"/>
          <w:tab w:val="left" w:pos="3933"/>
          <w:tab w:val="center" w:pos="3968"/>
        </w:tabs>
        <w:bidi w:val="0"/>
        <w:rPr>
          <w:rFonts w:ascii="Palatino Linotype" w:hAnsi="Palatino Linotype" w:cs="Traditional Arabic"/>
          <w:b/>
          <w:bCs/>
          <w:sz w:val="30"/>
          <w:szCs w:val="30"/>
          <w:u w:val="single"/>
        </w:rPr>
      </w:pPr>
    </w:p>
    <w:p w:rsidR="00D83ED9" w:rsidRPr="00D83ED9" w:rsidRDefault="00D83ED9" w:rsidP="00ED3D88">
      <w:pPr>
        <w:tabs>
          <w:tab w:val="left" w:pos="753"/>
          <w:tab w:val="left" w:pos="3933"/>
          <w:tab w:val="center" w:pos="3968"/>
        </w:tabs>
        <w:bidi w:val="0"/>
        <w:rPr>
          <w:rFonts w:ascii="Palatino Linotype" w:hAnsi="Palatino Linotype" w:cs="Traditional Arabic"/>
          <w:sz w:val="30"/>
          <w:szCs w:val="30"/>
        </w:rPr>
      </w:pPr>
      <w:r w:rsidRPr="0013392C">
        <w:rPr>
          <w:rFonts w:ascii="Palatino Linotype" w:hAnsi="Palatino Linotype" w:cs="Traditional Arabic"/>
          <w:b/>
          <w:bCs/>
          <w:sz w:val="30"/>
          <w:szCs w:val="30"/>
          <w:u w:val="single"/>
          <w:lang w:val="tt-RU"/>
        </w:rPr>
        <w:t>Муқаддима</w:t>
      </w:r>
    </w:p>
    <w:p w:rsidR="00D83ED9" w:rsidRPr="0013392C" w:rsidRDefault="00D83ED9" w:rsidP="00D83ED9">
      <w:pPr>
        <w:bidi w:val="0"/>
        <w:jc w:val="both"/>
        <w:rPr>
          <w:rFonts w:ascii="Palatino Linotype" w:hAnsi="Palatino Linotype" w:cs="Traditional Arabic"/>
          <w:sz w:val="30"/>
          <w:szCs w:val="30"/>
          <w:lang w:val="tt-RU"/>
        </w:rPr>
      </w:pPr>
      <w:r w:rsidRPr="0013392C">
        <w:rPr>
          <w:rFonts w:ascii="Palatino Linotype" w:hAnsi="Palatino Linotype" w:cs="Traditional Arabic"/>
          <w:sz w:val="30"/>
          <w:szCs w:val="30"/>
          <w:lang w:val="tt-RU"/>
        </w:rPr>
        <w:t>Дар ин мавз</w:t>
      </w:r>
      <w:r w:rsidRPr="0013392C">
        <w:rPr>
          <w:rFonts w:ascii="Palatino Linotype" w:hAnsi="Palatino Linotype" w:cs="Traditional Arabic"/>
          <w:sz w:val="30"/>
          <w:szCs w:val="30"/>
          <w:lang w:val="tg-Cyrl-TJ"/>
        </w:rPr>
        <w:t>ӯ</w:t>
      </w:r>
      <w:r w:rsidRPr="0013392C">
        <w:rPr>
          <w:rFonts w:ascii="Palatino Linotype" w:hAnsi="Palatino Linotype" w:cs="Traditional Arabic"/>
          <w:sz w:val="30"/>
          <w:szCs w:val="30"/>
          <w:lang w:val="tt-RU"/>
        </w:rPr>
        <w:t>ъ сухан кардан бисёр ҳассос ва мушкил аст, зеро бе далелу бурҳон пайравӣ кардан аз аҷдоду обо ва таъассуб ба одоту русуму муътақадоти онон, равиши аксарият гаштааст. Ва кӯшиш</w:t>
      </w:r>
      <w:r w:rsidRPr="0013392C">
        <w:rPr>
          <w:rFonts w:ascii="Palatino Linotype" w:hAnsi="Palatino Linotype" w:cs="Traditional Arabic"/>
          <w:sz w:val="30"/>
          <w:szCs w:val="30"/>
          <w:lang w:val="tg-Cyrl-TJ"/>
        </w:rPr>
        <w:t> барои ислоҳ ва тағйири ин қолабҳои нодурусти шахшудаи дар азҳон, мутаассифона дар ин рӯзгор ҳамчун хиёнат ва бегонапарастӣ талаққӣ мешавад</w:t>
      </w:r>
      <w:r w:rsidRPr="0013392C">
        <w:rPr>
          <w:rFonts w:ascii="Palatino Linotype" w:hAnsi="Palatino Linotype" w:cs="Traditional Arabic"/>
          <w:sz w:val="30"/>
          <w:szCs w:val="30"/>
          <w:lang w:val="tt-RU"/>
        </w:rPr>
        <w:t>.</w:t>
      </w:r>
    </w:p>
    <w:p w:rsidR="00D83ED9" w:rsidRPr="0013392C" w:rsidRDefault="00D83ED9" w:rsidP="00D83ED9">
      <w:pPr>
        <w:bidi w:val="0"/>
        <w:jc w:val="both"/>
        <w:rPr>
          <w:rFonts w:ascii="Palatino Linotype" w:hAnsi="Palatino Linotype" w:cs="Traditional Arabic"/>
          <w:sz w:val="30"/>
          <w:szCs w:val="30"/>
          <w:lang w:val="tt-RU"/>
        </w:rPr>
      </w:pPr>
      <w:r w:rsidRPr="0013392C">
        <w:rPr>
          <w:rFonts w:ascii="Palatino Linotype" w:hAnsi="Palatino Linotype" w:cs="Traditional Arabic"/>
          <w:sz w:val="30"/>
          <w:szCs w:val="30"/>
          <w:lang w:val="tt-RU"/>
        </w:rPr>
        <w:t>Гарчанде баёни ин гуна масоил ва матраҳ кардани он барои баъзеҳо нохушоянд бошад ҳам, вазифаи толибилм ва донишмандон аст, ки дар ин мавзуъот ибрози ақида кунад ва нор</w:t>
      </w:r>
      <w:r w:rsidRPr="0013392C">
        <w:rPr>
          <w:rFonts w:ascii="Palatino Linotype" w:hAnsi="Palatino Linotype" w:cs="Traditional Arabic"/>
          <w:sz w:val="30"/>
          <w:szCs w:val="30"/>
          <w:lang w:val="tg-Cyrl-TJ"/>
        </w:rPr>
        <w:t>ӯ</w:t>
      </w:r>
      <w:r w:rsidRPr="0013392C">
        <w:rPr>
          <w:rFonts w:ascii="Palatino Linotype" w:hAnsi="Palatino Linotype" w:cs="Traditional Arabic"/>
          <w:sz w:val="30"/>
          <w:szCs w:val="30"/>
          <w:lang w:val="tt-RU"/>
        </w:rPr>
        <w:t>шаниҳову ишколотро бо бурҳону далел бартараф созад. Вале одати баде дар ҷомеъа роиҷ шудааст, ки ба пойи нависандагон ва матраҳкунандагони ин гуна масоил садҳо завлонаи дурӯғу бӯҳтонро мебанданд. </w:t>
      </w:r>
    </w:p>
    <w:p w:rsidR="00D83ED9" w:rsidRPr="0013392C" w:rsidRDefault="00D83ED9" w:rsidP="00D83ED9">
      <w:pPr>
        <w:bidi w:val="0"/>
        <w:jc w:val="both"/>
        <w:rPr>
          <w:rFonts w:ascii="Palatino Linotype" w:hAnsi="Palatino Linotype" w:cs="Traditional Arabic"/>
          <w:sz w:val="30"/>
          <w:szCs w:val="30"/>
          <w:lang w:val="tt-RU"/>
        </w:rPr>
      </w:pPr>
      <w:r w:rsidRPr="0013392C">
        <w:rPr>
          <w:rFonts w:ascii="Palatino Linotype" w:hAnsi="Palatino Linotype" w:cs="Traditional Arabic"/>
          <w:sz w:val="30"/>
          <w:szCs w:val="30"/>
          <w:lang w:val="tt-RU"/>
        </w:rPr>
        <w:t>Ва ин равиш (равиши туҳматбандӣ ва муҳрзанӣ)-ро танҳо касоне ба кор мебаранд, ки зуҳури ҳақиқатро таҳаммул надоранд ё пайравӣ аз ҳавову ҳаваси худро аз ифшои ҳақ авлотар медонанд. Вале шахсони ҳақиқатҷ</w:t>
      </w:r>
      <w:r w:rsidRPr="0013392C">
        <w:rPr>
          <w:rFonts w:ascii="Palatino Linotype" w:hAnsi="Palatino Linotype" w:cs="Traditional Arabic"/>
          <w:sz w:val="30"/>
          <w:szCs w:val="30"/>
          <w:lang w:val="tg-Cyrl-TJ"/>
        </w:rPr>
        <w:t>ӯй ва ҳақиқатгӯй ва ҳақиқатпӯй ҳамвора равиши қуръонӣ доранд, ки «ба сухан гӯш медиҳанд ва аҳсани онро пайравӣ мекунанд»!</w:t>
      </w:r>
    </w:p>
    <w:p w:rsidR="00D83ED9" w:rsidRPr="0013392C" w:rsidRDefault="00D83ED9" w:rsidP="00D83ED9">
      <w:pPr>
        <w:ind w:firstLine="720"/>
        <w:jc w:val="both"/>
        <w:rPr>
          <w:rFonts w:ascii="Palatino Linotype" w:hAnsi="Palatino Linotype" w:cs="Traditional Arabic"/>
          <w:sz w:val="30"/>
          <w:szCs w:val="30"/>
          <w:rtl/>
          <w:lang w:val="tt-RU"/>
        </w:rPr>
      </w:pPr>
      <w:r w:rsidRPr="0013392C">
        <w:rPr>
          <w:rFonts w:ascii="KFGQPC Uthman Taha Naskh" w:cs="KFGQPC Uthman Taha Naskh" w:hint="cs"/>
          <w:color w:val="008000"/>
          <w:sz w:val="30"/>
          <w:szCs w:val="30"/>
          <w:rtl/>
        </w:rPr>
        <w:t>﴿</w:t>
      </w:r>
      <w:r w:rsidRPr="0013392C">
        <w:rPr>
          <w:rFonts w:ascii="KFGQPC Uthmanic Script HAFS" w:cs="KFGQPC Uthmanic Script HAFS" w:hint="cs"/>
          <w:color w:val="008000"/>
          <w:sz w:val="30"/>
          <w:szCs w:val="30"/>
          <w:rtl/>
        </w:rPr>
        <w:t>ٱلَّذِينَ</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يَسۡتَمِعُونَ</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ٱلۡقَوۡلَ</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فَيَتَّبِعُونَ</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أَحۡسَنَهُۥٓۚ</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أُوْلَٰٓئِكَ</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ٱلَّذِينَ</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هَدَىٰ</w:t>
      </w:r>
      <w:r w:rsidRPr="00D83ED9">
        <w:rPr>
          <w:rFonts w:ascii="KFGQPC Uthmanic Script HAFS" w:cs="KFGQPC Uthmanic Script HAFS" w:hint="cs"/>
          <w:color w:val="008000"/>
          <w:sz w:val="30"/>
          <w:szCs w:val="30"/>
          <w:rtl/>
        </w:rPr>
        <w:t>هُمُ</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ٱللَّهُۖ</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وَأُوْلَٰٓئِكَ</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هُمۡ</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أُوْلُواْ</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ٱلۡأَلۡبَٰبِ</w:t>
      </w:r>
      <w:r w:rsidRPr="0013392C">
        <w:rPr>
          <w:rFonts w:ascii="KFGQPC Uthmanic Script HAFS" w:cs="KFGQPC Uthmanic Script HAFS"/>
          <w:color w:val="008000"/>
          <w:sz w:val="30"/>
          <w:szCs w:val="30"/>
          <w:rtl/>
        </w:rPr>
        <w:t xml:space="preserve"> </w:t>
      </w:r>
      <w:r w:rsidRPr="0013392C">
        <w:rPr>
          <w:rFonts w:ascii="KFGQPC Uthmanic Script HAFS" w:cs="KFGQPC Uthmanic Script HAFS" w:hint="cs"/>
          <w:color w:val="008000"/>
          <w:sz w:val="30"/>
          <w:szCs w:val="30"/>
          <w:rtl/>
        </w:rPr>
        <w:t>١٨</w:t>
      </w:r>
      <w:r w:rsidRPr="0013392C">
        <w:rPr>
          <w:rFonts w:ascii="KFGQPC Uthman Taha Naskh" w:cs="KFGQPC Uthman Taha Naskh" w:hint="cs"/>
          <w:color w:val="008000"/>
          <w:sz w:val="30"/>
          <w:szCs w:val="30"/>
          <w:rtl/>
        </w:rPr>
        <w:t>﴾</w:t>
      </w:r>
      <w:r w:rsidRPr="0013392C">
        <w:rPr>
          <w:rFonts w:ascii="KFGQPC Uthman Taha Naskh" w:cs="KFGQPC Uthman Taha Naskh"/>
          <w:color w:val="008000"/>
          <w:sz w:val="30"/>
          <w:szCs w:val="30"/>
          <w:rtl/>
        </w:rPr>
        <w:t xml:space="preserve"> [</w:t>
      </w:r>
      <w:r w:rsidRPr="0013392C">
        <w:rPr>
          <w:rFonts w:ascii="KFGQPC Uthman Taha Naskh" w:cs="KFGQPC Uthman Taha Naskh" w:hint="cs"/>
          <w:color w:val="008000"/>
          <w:sz w:val="30"/>
          <w:szCs w:val="30"/>
          <w:rtl/>
        </w:rPr>
        <w:t>الزمر</w:t>
      </w:r>
      <w:r w:rsidRPr="0013392C">
        <w:rPr>
          <w:rFonts w:ascii="KFGQPC Uthman Taha Naskh" w:cs="KFGQPC Uthman Taha Naskh"/>
          <w:color w:val="008000"/>
          <w:sz w:val="30"/>
          <w:szCs w:val="30"/>
          <w:rtl/>
        </w:rPr>
        <w:t xml:space="preserve">: </w:t>
      </w:r>
      <w:r w:rsidRPr="0013392C">
        <w:rPr>
          <w:rFonts w:ascii="KFGQPC Uthman Taha Naskh" w:cs="KFGQPC Uthman Taha Naskh" w:hint="cs"/>
          <w:color w:val="008000"/>
          <w:sz w:val="30"/>
          <w:szCs w:val="30"/>
          <w:rtl/>
        </w:rPr>
        <w:t>١٨</w:t>
      </w:r>
      <w:r>
        <w:rPr>
          <w:rFonts w:ascii="KFGQPC Uthman Taha Naskh" w:cs="KFGQPC Uthman Taha Naskh"/>
          <w:color w:val="008000"/>
          <w:sz w:val="30"/>
          <w:szCs w:val="30"/>
          <w:rtl/>
        </w:rPr>
        <w:t>]</w:t>
      </w:r>
    </w:p>
    <w:p w:rsidR="00D83ED9" w:rsidRPr="00D83ED9" w:rsidRDefault="00D83ED9" w:rsidP="00D83ED9">
      <w:pPr>
        <w:bidi w:val="0"/>
        <w:ind w:firstLine="720"/>
        <w:jc w:val="both"/>
        <w:rPr>
          <w:rFonts w:ascii="Palatino Linotype" w:hAnsi="Palatino Linotype" w:cs="Traditional Arabic"/>
          <w:color w:val="008000"/>
          <w:sz w:val="30"/>
          <w:szCs w:val="30"/>
          <w:lang w:val="tg-Cyrl-TJ"/>
        </w:rPr>
      </w:pPr>
      <w:r w:rsidRPr="00D83ED9">
        <w:rPr>
          <w:rFonts w:ascii="Palatino Linotype" w:hAnsi="Palatino Linotype" w:cs="Traditional Arabic"/>
          <w:b/>
          <w:bCs/>
          <w:color w:val="008000"/>
          <w:sz w:val="30"/>
          <w:szCs w:val="30"/>
          <w:lang w:val="tg-Cyrl-TJ"/>
        </w:rPr>
        <w:t>«Он касоне, ки ба ҳамаи суханон гӯш фаро медиҳанд, ва аз некӯтарин ва зеботарини онҳо пайравӣ мекунанд. Онҳо касонеанд, ки Аллоҳ ҳидояташон кардааст ва эшон воқеъан ҳам хирадманданд».</w:t>
      </w:r>
      <w:r w:rsidRPr="00D83ED9">
        <w:rPr>
          <w:rFonts w:ascii="Palatino Linotype" w:hAnsi="Palatino Linotype" w:cs="Traditional Arabic"/>
          <w:color w:val="008000"/>
          <w:sz w:val="30"/>
          <w:szCs w:val="30"/>
          <w:lang w:val="tg-Cyrl-TJ"/>
        </w:rPr>
        <w:t> </w:t>
      </w:r>
      <w:r w:rsidRPr="00D83ED9">
        <w:rPr>
          <w:rFonts w:ascii="Palatino Linotype" w:hAnsi="Palatino Linotype" w:cs="Traditional Arabic"/>
          <w:i/>
          <w:iCs/>
          <w:color w:val="008000"/>
          <w:sz w:val="30"/>
          <w:szCs w:val="30"/>
          <w:lang w:val="tg-Cyrl-TJ"/>
        </w:rPr>
        <w:t>(Сураи Зумар — 18).</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lastRenderedPageBreak/>
        <w:t>Д</w:t>
      </w:r>
      <w:r w:rsidRPr="0013392C">
        <w:rPr>
          <w:rFonts w:ascii="Palatino Linotype" w:hAnsi="Palatino Linotype" w:cs="Traditional Arabic"/>
          <w:sz w:val="30"/>
          <w:szCs w:val="30"/>
          <w:lang w:val="tt-RU"/>
        </w:rPr>
        <w:t xml:space="preserve">ар ин рисола кушиш шуд, ки дар бораи «Ваҳдатул-вуҷуд», сухан кунем. Зеро ки асари инҳирофангези эътиқоди </w:t>
      </w:r>
      <w:r w:rsidRPr="0013392C">
        <w:rPr>
          <w:rFonts w:ascii="Palatino Linotype" w:hAnsi="Palatino Linotype" w:cs="Traditional Arabic"/>
          <w:sz w:val="30"/>
          <w:szCs w:val="30"/>
          <w:lang w:val="tg-Cyrl-TJ"/>
        </w:rPr>
        <w:t>«Ваҳдати вуҷуд»</w:t>
      </w:r>
      <w:r w:rsidRPr="0013392C">
        <w:rPr>
          <w:rFonts w:ascii="Palatino Linotype" w:hAnsi="Palatino Linotype" w:cs="Traditional Arabic"/>
          <w:sz w:val="30"/>
          <w:szCs w:val="30"/>
          <w:lang w:val="tt-RU"/>
        </w:rPr>
        <w:t>  дар ҳама тору пуди</w:t>
      </w:r>
      <w:r w:rsidRPr="0013392C">
        <w:rPr>
          <w:rFonts w:ascii="Palatino Linotype" w:hAnsi="Palatino Linotype" w:cs="Traditional Arabic"/>
          <w:sz w:val="30"/>
          <w:szCs w:val="30"/>
          <w:lang w:val="tg-Cyrl-TJ"/>
        </w:rPr>
        <w:t> адабиёти форсии тоҷикӣ, ба ви</w:t>
      </w:r>
      <w:r w:rsidRPr="0013392C">
        <w:rPr>
          <w:rFonts w:ascii="Palatino Linotype" w:hAnsi="Palatino Linotype" w:cs="Traditional Arabic"/>
          <w:sz w:val="30"/>
          <w:szCs w:val="30"/>
          <w:lang w:val="tt-RU"/>
        </w:rPr>
        <w:t>ж</w:t>
      </w:r>
      <w:r w:rsidRPr="0013392C">
        <w:rPr>
          <w:rFonts w:ascii="Palatino Linotype" w:hAnsi="Palatino Linotype" w:cs="Traditional Arabic"/>
          <w:sz w:val="30"/>
          <w:szCs w:val="30"/>
          <w:lang w:val="tg-Cyrl-TJ"/>
        </w:rPr>
        <w:t>а дар ашъори ирфонӣ ба вузуҳ дида мешавад. Ва ин мавзӯъ яке аз умдатарин баҳсҳои ирфонӣ ва фалсафаи ба ном исломӣ қаламдод мешавад.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 аз хонандагоне, ки назари мухолиф доранд, танҳо хоҳишам ин аст, ки ба ин масъала на аз рӯи пешфарзҳо бингаранд, балки бо нигоҳи амиқи илмӣ.</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 хидмати хонандаи гиромӣ арз шавад, ки баҳси мо сари назария ва ақидаи «Ваҳдат вуҷуд» ҳаст, на ҳукм бар ашхос ва соҳибони он, зеро ҳукм бар соҳибони ақида баҳсест ҷудогона ва мутафовит.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ind w:firstLine="72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u w:val="single"/>
          <w:lang w:val="tg-Cyrl-TJ"/>
        </w:rPr>
        <w:t>1. «Ваҳдатул-вуҷуд» — як назария ва ақидаест, ки пайравонаш ғолибан аз ошкор кардан ва баёни сареҳи он, имтиноъ меварзанд.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Муътақидони ин назария дар маърази баёни ҳақиқати он ҳеҷ гоҳ возеҳу ошкор ва сароҳатан ин назарияро таъриф накардаанд, балки мегӯянд, ки ин ақида аслан қобили фаҳму маърифат нест, ва гӯё сиррест, ки ҳақиқати онро ҷуз афроди «баҳақрасида» дарк намекунанд.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Аммо чун ба хилват мераванд, дар ҳалқаи танги пайравони хеш ва дар васати калому ашъорашон ҳақиқати ин ақидаи сарбастаро комилан ҳувайдо мекунанд.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1) Яке аз тоҷикони мудофеъи ин назария Юнуси Истаравшанӣ чунин мегӯяд: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lastRenderedPageBreak/>
        <w:t>«Ин буд, тавзеҳе мухтасар аз “ваҳдати вуҷуд”-е, ки Ибни Арабӣ мӯътақид ба он аст, ки албатта бояд ёдовар шуд, ки ин масъала, масъалае чандон осон ҳам нест, ки бо чанд сатр ва чанд ҷумла битавон онро баён кард, </w:t>
      </w:r>
      <w:r w:rsidRPr="0013392C">
        <w:rPr>
          <w:rFonts w:ascii="Palatino Linotype" w:hAnsi="Palatino Linotype" w:cs="Traditional Arabic"/>
          <w:b/>
          <w:bCs/>
          <w:sz w:val="30"/>
          <w:szCs w:val="30"/>
          <w:u w:val="single"/>
          <w:lang w:val="tg-Cyrl-TJ"/>
        </w:rPr>
        <w:t>ва асосан, қалам оҷиз аз баёни ин ҳақиқат аст;</w:t>
      </w:r>
      <w:r w:rsidRPr="0013392C">
        <w:rPr>
          <w:rFonts w:ascii="Palatino Linotype" w:hAnsi="Palatino Linotype" w:cs="Traditional Arabic"/>
          <w:sz w:val="30"/>
          <w:szCs w:val="30"/>
          <w:lang w:val="tg-Cyrl-TJ"/>
        </w:rPr>
        <w:t> зеро урафо ин ҳақиқатро аввал бо таҷрубаи шахсӣ ёфта, сипас ба баёни он пардохтаанд </w:t>
      </w:r>
      <w:r w:rsidRPr="0013392C">
        <w:rPr>
          <w:rFonts w:ascii="Palatino Linotype" w:hAnsi="Palatino Linotype" w:cs="Traditional Arabic"/>
          <w:b/>
          <w:bCs/>
          <w:sz w:val="30"/>
          <w:szCs w:val="30"/>
          <w:u w:val="single"/>
          <w:lang w:val="tg-Cyrl-TJ"/>
        </w:rPr>
        <w:t>ва тасреҳ ҳам кардаанд, ки ин ҳақиқат аслан қобили баён ва тавзеҳ нест,</w:t>
      </w:r>
      <w:r w:rsidRPr="0013392C">
        <w:rPr>
          <w:rFonts w:ascii="Palatino Linotype" w:hAnsi="Palatino Linotype" w:cs="Traditional Arabic"/>
          <w:sz w:val="30"/>
          <w:szCs w:val="30"/>
          <w:lang w:val="tg-Cyrl-TJ"/>
        </w:rPr>
        <w:t> балки танҳо бо таҷрубаи шахсӣ қобили дарк мебошад». </w:t>
      </w:r>
      <w:r w:rsidRPr="0013392C">
        <w:rPr>
          <w:rFonts w:ascii="Palatino Linotype" w:hAnsi="Palatino Linotype" w:cs="Traditional Arabic"/>
          <w:i/>
          <w:iCs/>
          <w:sz w:val="30"/>
          <w:szCs w:val="30"/>
          <w:lang w:val="tg-Cyrl-TJ"/>
        </w:rPr>
        <w:t>(Сайти Кимиёи Саодат)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2) Муртазо Мутаҳҳарӣ, яке аз донишмандони маъруфи шиъа гуфта: «Ваҳдати вуҷуд меҳвари ҷаҳонбинии ирфонӣ аст. Аслан ваҳдати вуҷуд чист? …</w:t>
      </w:r>
      <w:r w:rsidRPr="0013392C">
        <w:rPr>
          <w:rFonts w:ascii="Palatino Linotype" w:hAnsi="Palatino Linotype" w:cs="Traditional Arabic"/>
          <w:b/>
          <w:bCs/>
          <w:sz w:val="30"/>
          <w:szCs w:val="30"/>
          <w:u w:val="single"/>
          <w:lang w:val="tg-Cyrl-TJ"/>
        </w:rPr>
        <w:t>Ваҳдати вуҷуд аз он андешаҳое ҳаст, ки камтар касе ба умқи он пай бурдааст ва мебарад</w:t>
      </w:r>
      <w:r w:rsidRPr="0013392C">
        <w:rPr>
          <w:rFonts w:ascii="Palatino Linotype" w:hAnsi="Palatino Linotype" w:cs="Traditional Arabic"/>
          <w:sz w:val="30"/>
          <w:szCs w:val="30"/>
          <w:lang w:val="tg-Cyrl-TJ"/>
        </w:rPr>
        <w:t>. (Инро бояд бидуни таъоруф гуфт). Бисёр бисёр каманд афроде, ки битавонанд тасаввури саҳиҳе аз ваҳдати вуҷуде, ки урафо доранд, дошта бошанд, аз мусташриқин гирифта то ғайримусташриқин».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i/>
          <w:iCs/>
          <w:sz w:val="30"/>
          <w:szCs w:val="30"/>
          <w:lang w:val="tg-Cyrl-TJ"/>
        </w:rPr>
        <w:t>(Ирфони Ҳофиз, саҳ. 88-89)</w:t>
      </w:r>
      <w:r w:rsidRPr="0013392C">
        <w:rPr>
          <w:rFonts w:ascii="Palatino Linotype" w:hAnsi="Palatino Linotype" w:cs="Traditional Arabic"/>
          <w:sz w:val="30"/>
          <w:szCs w:val="30"/>
          <w:lang w:val="tg-Cyrl-TJ"/>
        </w:rPr>
        <w:t>.</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3) Оятуллоҳ Ҳусайнии Теҳронӣ:</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«Ваҳдати вуҷуд аз бузургтарин ва олитарин ва</w:t>
      </w:r>
      <w:r w:rsidRPr="0013392C">
        <w:rPr>
          <w:rFonts w:ascii="Palatino Linotype" w:hAnsi="Palatino Linotype" w:cs="Traditional Arabic"/>
          <w:b/>
          <w:bCs/>
          <w:sz w:val="30"/>
          <w:szCs w:val="30"/>
          <w:u w:val="single"/>
          <w:lang w:val="tg-Cyrl-TJ"/>
        </w:rPr>
        <w:t xml:space="preserve">  ғомизтарин</w:t>
      </w:r>
      <w:r w:rsidRPr="0013392C">
        <w:rPr>
          <w:rFonts w:ascii="Palatino Linotype" w:hAnsi="Palatino Linotype" w:cs="Traditional Arabic"/>
          <w:sz w:val="30"/>
          <w:szCs w:val="30"/>
          <w:lang w:val="tg-Cyrl-TJ"/>
        </w:rPr>
        <w:t> ва латифтарин масоили «ҳикмати мутаъолия» аст ва фаҳмиданаш кори осоне нест. Инсон бояд як умр заҳмат бикашад илман ва амалан, оё Худо ба ӯ қисмат кунад, ки асл ва ҳақиқати ваҳдати вуҷудро бифаҳмад ё на?! Ин аз асрор аст…». </w:t>
      </w:r>
      <w:r w:rsidRPr="0013392C">
        <w:rPr>
          <w:rFonts w:ascii="Palatino Linotype" w:hAnsi="Palatino Linotype" w:cs="Traditional Arabic"/>
          <w:i/>
          <w:iCs/>
          <w:sz w:val="30"/>
          <w:szCs w:val="30"/>
          <w:lang w:val="tg-Cyrl-TJ"/>
        </w:rPr>
        <w:t>(Вилояти фақиҳ дар ҳукумати ислом, ҷ. 3 қисмати 3).</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rPr>
      </w:pPr>
      <w:r w:rsidRPr="0013392C">
        <w:rPr>
          <w:rFonts w:ascii="Palatino Linotype" w:hAnsi="Palatino Linotype" w:cs="Traditional Arabic"/>
          <w:sz w:val="30"/>
          <w:szCs w:val="30"/>
          <w:lang w:val="tg-Cyrl-TJ"/>
        </w:rPr>
        <w:t>4) Мулло Садро дар «Асфор»:</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هذا من الغوامض الإلهية التي يستصعب ادراكه الاّ على من آتاه اللَّه من لدنه علماً و حكمة</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lastRenderedPageBreak/>
        <w:t>«Ин (яъне масъалаи ваҳдати вуҷуд) аз </w:t>
      </w:r>
      <w:r w:rsidRPr="0013392C">
        <w:rPr>
          <w:rFonts w:ascii="Palatino Linotype" w:hAnsi="Palatino Linotype" w:cs="Traditional Arabic"/>
          <w:b/>
          <w:bCs/>
          <w:sz w:val="30"/>
          <w:szCs w:val="30"/>
          <w:u w:val="single"/>
          <w:lang w:val="tg-Cyrl-TJ"/>
        </w:rPr>
        <w:t>ғавомизи илоҳия ҳаст, ки дарки он сахт душвор аст</w:t>
      </w:r>
      <w:r w:rsidRPr="0013392C">
        <w:rPr>
          <w:rFonts w:ascii="Palatino Linotype" w:hAnsi="Palatino Linotype" w:cs="Traditional Arabic"/>
          <w:sz w:val="30"/>
          <w:szCs w:val="30"/>
          <w:lang w:val="tg-Cyrl-TJ"/>
        </w:rPr>
        <w:t>, магар барои касе, ки Худованд илми ладуннӣ ва ҳикмати ладуннӣ ба ӯ дода бошад». </w:t>
      </w:r>
      <w:r w:rsidRPr="0013392C">
        <w:rPr>
          <w:rFonts w:ascii="Palatino Linotype" w:hAnsi="Palatino Linotype" w:cs="Traditional Arabic"/>
          <w:i/>
          <w:iCs/>
          <w:sz w:val="30"/>
          <w:szCs w:val="30"/>
          <w:lang w:val="tg-Cyrl-TJ"/>
        </w:rPr>
        <w:t>(Ал-ҳикматул мутаъолия фил-асфорил арбаъа…, ҷ. 6 фасли 12).</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5) Яке аз боризтарин пайравони мутааххири ин назария, Хумайнӣ дар таълиқоти худ бар шарҳи «Фусусул-ҳикам»-и Ибни Арабӣ мегӯяд:</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وهذا من الأسرار التي لا يمكن افشاء حقيقتها والتصريح بها فالعالم خيال في خيال ووهم في وهم ليس في الدار غيره ديار تأمل تعرف</w:t>
      </w:r>
      <w:r w:rsidRPr="0013392C">
        <w:rPr>
          <w:rFonts w:ascii="Palatino Linotype" w:hAnsi="Palatino Linotype" w:cs="Traditional Arabic"/>
          <w:sz w:val="30"/>
          <w:szCs w:val="30"/>
          <w:lang w:val="ru-RU"/>
        </w:rPr>
        <w:t>.</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 ин аз ҷумлаи асрорест, ки баёну ифшои ҳақиқати он ва тасриҳи он имкон надорад, пас олам ҳама хаёл дар хаёл ва ваҳм дар ваҳм аст, дар ин диёр (сарои олам) дайёре (мавҷуде) ғайри Ӯ нест, тааммул бикун хоҳӣ донист». </w:t>
      </w:r>
      <w:r w:rsidRPr="0013392C">
        <w:rPr>
          <w:rFonts w:ascii="Palatino Linotype" w:hAnsi="Palatino Linotype" w:cs="Traditional Arabic"/>
          <w:i/>
          <w:iCs/>
          <w:sz w:val="30"/>
          <w:szCs w:val="30"/>
          <w:lang w:val="tg-Cyrl-TJ"/>
        </w:rPr>
        <w:t>(Таълиқот бар шарҳи Фусусул-ҳикам, саҳ. 299)</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6) Сомонаи расмии тариқаи Шозилия дар ин масъала тасриҳ кардааст, ки чунин гуфтор ва эътиқодот бояд пинҳон карда шаванд ва инҳо аз қабили шатаҳот аст, ки баёни он ба ағёр ҷоиз нест:</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b/>
          <w:bCs/>
          <w:sz w:val="30"/>
          <w:szCs w:val="30"/>
          <w:rtl/>
        </w:rPr>
        <w:t xml:space="preserve">قال الشبلي: كنت أنا والحلاج شيئاً واحداً إلا </w:t>
      </w:r>
      <w:r w:rsidRPr="0013392C">
        <w:rPr>
          <w:rFonts w:ascii="Palatino Linotype" w:hAnsi="Palatino Linotype" w:cs="Traditional Arabic" w:hint="cs"/>
          <w:b/>
          <w:bCs/>
          <w:sz w:val="30"/>
          <w:szCs w:val="30"/>
          <w:rtl/>
        </w:rPr>
        <w:t>أ</w:t>
      </w:r>
      <w:r w:rsidRPr="0013392C">
        <w:rPr>
          <w:rFonts w:ascii="Palatino Linotype" w:hAnsi="Palatino Linotype" w:cs="Traditional Arabic"/>
          <w:b/>
          <w:bCs/>
          <w:sz w:val="30"/>
          <w:szCs w:val="30"/>
          <w:rtl/>
        </w:rPr>
        <w:t>نه أظهر وكتمت</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«Шиблӣ гӯяд: Ман ва Ҳаллоҷ ҳар ду як чиз будем (ҳам-ақида будем), вале ӯ (ин эътиқоди ваҳдати вуҷудро) ошкор кард ва ман пинҳон доштам». </w:t>
      </w:r>
      <w:r w:rsidRPr="0013392C">
        <w:rPr>
          <w:rFonts w:ascii="Palatino Linotype" w:hAnsi="Palatino Linotype" w:cs="Traditional Arabic"/>
          <w:i/>
          <w:iCs/>
          <w:sz w:val="30"/>
          <w:szCs w:val="30"/>
          <w:lang w:val="tg-Cyrl-TJ"/>
        </w:rPr>
        <w:t>(Шатаҳоти суфия, Абдураҳмони Бадавӣ саҳ. 24).</w:t>
      </w:r>
    </w:p>
    <w:p w:rsidR="00D83ED9" w:rsidRPr="0013392C" w:rsidRDefault="009E16B2" w:rsidP="00D83ED9">
      <w:pPr>
        <w:bidi w:val="0"/>
        <w:jc w:val="both"/>
        <w:rPr>
          <w:rFonts w:ascii="Palatino Linotype" w:hAnsi="Palatino Linotype" w:cs="Traditional Arabic"/>
          <w:sz w:val="30"/>
          <w:szCs w:val="30"/>
          <w:lang w:val="tg-Cyrl-TJ"/>
        </w:rPr>
      </w:pPr>
      <w:hyperlink r:id="rId8" w:history="1">
        <w:r w:rsidR="00D83ED9" w:rsidRPr="0013392C">
          <w:rPr>
            <w:rStyle w:val="Hyperlink"/>
            <w:rFonts w:ascii="Palatino Linotype" w:hAnsi="Palatino Linotype" w:cs="Traditional Arabic"/>
            <w:sz w:val="30"/>
            <w:szCs w:val="30"/>
            <w:lang w:val="tg-Cyrl-TJ"/>
          </w:rPr>
          <w:t>http://www.shazellia.com/tasawouf/chosentpc/Shateh.htm</w:t>
        </w:r>
      </w:hyperlink>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Шатаҳот — калимоти куфромезест, ки аҳли тасаввуф гӯё дар ҳоли ғалабаи шуҳуди Ҳақ ва бехудиву ваҷд ба забон меронанд.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lastRenderedPageBreak/>
        <w:t>7) Ғаззолӣ дар «Эҳёи улуми дин» ва «Мишкотул-анвор» ин эътиқодро аз асрор медонад, ки баён кардани он мушкил аст. Ҳол онки дар васати гуфтораш ҳақиқати ин ақида ошкор баён шудааст. Ва қобили зикр аст, ки дар авохири умр, Ғаззолӣ аз ин гуна эътиқодот даст кашидааст ва қиссаи марги ӯ маъруф аст, ки саҳеҳи Бухорӣ дар дасташ ҷон ба ҷонофораин супурда (раҳмату мағфирати Аллоҳ бар ӯ бод)!</w:t>
      </w:r>
    </w:p>
    <w:p w:rsidR="00D83ED9" w:rsidRPr="0013392C" w:rsidRDefault="00D83ED9" w:rsidP="00D83ED9">
      <w:pPr>
        <w:bidi w:val="0"/>
        <w:jc w:val="both"/>
        <w:rPr>
          <w:rFonts w:ascii="Palatino Linotype" w:hAnsi="Palatino Linotype" w:cs="Traditional Arabic"/>
          <w:sz w:val="30"/>
          <w:szCs w:val="30"/>
        </w:rPr>
      </w:pPr>
      <w:r w:rsidRPr="0013392C">
        <w:rPr>
          <w:rFonts w:ascii="Palatino Linotype" w:hAnsi="Palatino Linotype" w:cs="Traditional Arabic"/>
          <w:sz w:val="30"/>
          <w:szCs w:val="30"/>
          <w:lang w:val="tg-Cyrl-TJ"/>
        </w:rPr>
        <w:t>Ғаззолӣ мегӯяд:</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أسرار هذا العلم لا يجوز أن تسطر في كتاب</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sz w:val="30"/>
          <w:szCs w:val="30"/>
          <w:lang w:val="tg-Cyrl-TJ"/>
        </w:rPr>
        <w:t>***</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وراء هذه الحقائق أسرار لا يجوز الخوض فيها</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sz w:val="30"/>
          <w:szCs w:val="30"/>
          <w:lang w:val="tg-Cyrl-TJ"/>
        </w:rPr>
        <w:t>***</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ويترقى الحال إلى درجات يضيق عنها نطاق النطق</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«Асрори ин илмро раво нест, ки дар китобе бинависанд».</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«Дар моварои ин ҳақоиқ асрорест, ки дар он таъаммуқ кардан  ҷоиз нест».</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«Ва ҳолат ба дараҷаҳои баланде мерасад, ки маҷоле барои нутқ боқӣ намемонад».</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 </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8) Муҳаммад Ротиб Нобулсӣ яке аз донишмандони муъосир, ки дар маҷмӯъ пойбанд бар усули эътиқоди аҳли суннат аст, дар шарҳи қиссаи Мансури Ҳаллоҷ чунин гӯяд:</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 وهذا معنى دقيق جداً لا يفهمه عامة الناس لذلك دفع حياته ثمن هذه الإشراقة</w:t>
      </w:r>
    </w:p>
    <w:p w:rsidR="00D83ED9" w:rsidRPr="0013392C" w:rsidRDefault="00D83ED9" w:rsidP="00D83ED9">
      <w:pPr>
        <w:bidi w:val="0"/>
        <w:jc w:val="both"/>
        <w:rPr>
          <w:rFonts w:ascii="Palatino Linotype" w:hAnsi="Palatino Linotype" w:cs="Traditional Arabic"/>
          <w:sz w:val="30"/>
          <w:szCs w:val="30"/>
        </w:rPr>
      </w:pPr>
      <w:r w:rsidRPr="0013392C">
        <w:rPr>
          <w:rFonts w:ascii="Palatino Linotype" w:hAnsi="Palatino Linotype" w:cs="Traditional Arabic"/>
          <w:sz w:val="30"/>
          <w:szCs w:val="30"/>
          <w:lang w:val="tg-Cyrl-TJ"/>
        </w:rPr>
        <w:t>«Ва масъалаи (ваҳдати вуҷуд)-ро маънои дақиқест, ки оммаи мардум фаҳми онро надоранд, аз ин рӯ (Мансури Ҳаллоҷ) ҷони хешро дар баҳои ин кашфу ишроқ бибохт…».</w:t>
      </w:r>
    </w:p>
    <w:p w:rsidR="00D83ED9" w:rsidRPr="0013392C" w:rsidRDefault="00D83ED9" w:rsidP="00D83ED9">
      <w:pPr>
        <w:bidi w:val="0"/>
        <w:jc w:val="both"/>
        <w:rPr>
          <w:rFonts w:ascii="Palatino Linotype" w:hAnsi="Palatino Linotype" w:cs="Traditional Arabic"/>
          <w:sz w:val="30"/>
          <w:szCs w:val="30"/>
        </w:rPr>
      </w:pPr>
      <w:r w:rsidRPr="0013392C">
        <w:rPr>
          <w:rFonts w:ascii="Palatino Linotype" w:hAnsi="Palatino Linotype" w:cs="Traditional Arabic"/>
          <w:b/>
          <w:bCs/>
          <w:sz w:val="30"/>
          <w:szCs w:val="30"/>
          <w:lang w:val="tg-Cyrl-TJ"/>
        </w:rPr>
        <w:t> </w:t>
      </w:r>
    </w:p>
    <w:p w:rsidR="00D83ED9" w:rsidRPr="00263B5D" w:rsidRDefault="00D83ED9" w:rsidP="00D83ED9">
      <w:pPr>
        <w:bidi w:val="0"/>
        <w:ind w:firstLine="720"/>
        <w:jc w:val="both"/>
        <w:rPr>
          <w:rFonts w:ascii="Palatino Linotype" w:hAnsi="Palatino Linotype" w:cs="Traditional Arabic"/>
          <w:sz w:val="30"/>
          <w:szCs w:val="30"/>
          <w:lang w:val="ru-RU"/>
        </w:rPr>
      </w:pPr>
      <w:r w:rsidRPr="0013392C">
        <w:rPr>
          <w:rFonts w:ascii="Palatino Linotype" w:hAnsi="Palatino Linotype" w:cs="Traditional Arabic"/>
          <w:b/>
          <w:bCs/>
          <w:sz w:val="30"/>
          <w:szCs w:val="30"/>
          <w:u w:val="single"/>
          <w:lang w:val="tg-Cyrl-TJ"/>
        </w:rPr>
        <w:lastRenderedPageBreak/>
        <w:t>2. Пас назарияи «Ваҳдатул-вуҷуд» чист ва чӣ маъно дорад?!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Дар фасли нахустини ин мақола баён гашт, ки ба эътирофи худи пайравони ин ақида таърифи ин назария имкон надорад ва он гӯё аз розҳои ирфон ва тасаввуф аст. Вале ба ҳар ҳол кӯшидаанд, ки ба қадри имкон онро маънидод кунанд. Намунае чанд аз таърифу шарҳи онро меорем.</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Юнуси Истаравшанӣ кӯшидааст, ки илоҷе кардаву ин назарияро шарҳ диҳад: «Бар пояи назарияи Ибни Арабӣ, вуҷуди ҳақиқӣ, беш аз яке нест, ва он ҳам вуҷуди Худованд аст ва ғайри Худо ҳарчи ҳаст, сирфан таҷаллиёти ҳамон вуҷуди воҳид аст, ки дар воқеъ ҳамагӣ “намуд” ҳастанд, на “буд”.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Ба баёни дигар, танҳо вуҷуди ҳақиқӣ дар ин олам, Худост ва дигарон вуҷуди ҳақиқӣ надоранд, балки ҳамагӣ мазоҳир ва сояҳое аз вуҷуди Худоянд, бинобар ин, маҷозан ба онҳо вуҷуд мегӯянд». </w:t>
      </w:r>
      <w:r w:rsidRPr="0013392C">
        <w:rPr>
          <w:rFonts w:ascii="Palatino Linotype" w:hAnsi="Palatino Linotype" w:cs="Traditional Arabic"/>
          <w:i/>
          <w:iCs/>
          <w:sz w:val="30"/>
          <w:szCs w:val="30"/>
          <w:lang w:val="tg-Cyrl-TJ"/>
        </w:rPr>
        <w:t>(Сайти Кимиёи Саодат)</w:t>
      </w: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Муртазо Мутаҳҳарӣ, донишманди шиъамазҳаб дар китоби «Ирфони Ҳофиз» се таъриф аз «Ваҳдати вуҷуд»-ро оварда ва дар фарҷом хулоса мекунад, ки ин мавҷудот мисли мазҳарест, ки дар оина дида мешавад ва дар ҳақиқат вуҷуд надорад… </w:t>
      </w:r>
      <w:r w:rsidRPr="0013392C">
        <w:rPr>
          <w:rFonts w:ascii="Palatino Linotype" w:hAnsi="Palatino Linotype" w:cs="Traditional Arabic"/>
          <w:i/>
          <w:iCs/>
          <w:sz w:val="30"/>
          <w:szCs w:val="30"/>
          <w:lang w:val="tg-Cyrl-TJ"/>
        </w:rPr>
        <w:t>(Ирфони Ҳофиз, саҳ. 102)</w:t>
      </w:r>
      <w:r w:rsidRPr="0013392C">
        <w:rPr>
          <w:rFonts w:ascii="Palatino Linotype" w:hAnsi="Palatino Linotype" w:cs="Traditional Arabic"/>
          <w:sz w:val="30"/>
          <w:szCs w:val="30"/>
          <w:lang w:val="tg-Cyrl-TJ"/>
        </w:rPr>
        <w:t>.</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Мавлавӣ дар Маснавӣ мегӯяд: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i/>
          <w:iCs/>
          <w:sz w:val="30"/>
          <w:szCs w:val="30"/>
          <w:lang w:val="tg-Cyrl-TJ"/>
        </w:rPr>
        <w:t>Мо адамҳоем ҳастиҳо намо,</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i/>
          <w:iCs/>
          <w:sz w:val="30"/>
          <w:szCs w:val="30"/>
          <w:lang w:val="tg-Cyrl-TJ"/>
        </w:rPr>
        <w:t>Ту вуҷуди мутлақу ҳастии мо.</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Ин буд чанд намунае, аз таъриф ва шарҳи ақидаи «Ваҳдати вуҷуд», ки худи муътақидони ин назария зоҳиран ҳеҷ мухолифате дар он бо шаръу мантиқ намебинанд. Вале дар ин мақола баён хоҳад шуд, ки ин назария чӣ мухолифате бо шаръу мантиқ дорад?!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lang w:val="tg-Cyrl-TJ"/>
        </w:rPr>
        <w:lastRenderedPageBreak/>
        <w:t> </w:t>
      </w:r>
    </w:p>
    <w:p w:rsidR="00D83ED9" w:rsidRPr="0013392C" w:rsidRDefault="00D83ED9" w:rsidP="00D83ED9">
      <w:pPr>
        <w:bidi w:val="0"/>
        <w:ind w:firstLine="72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u w:val="single"/>
          <w:lang w:val="tg-Cyrl-TJ"/>
        </w:rPr>
        <w:t>3. Асли мухолифати мо бо назарияи «ваҳдати вуҷуд» чист?!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Баъд аз онки таъриф ва баёне аз худи муътақидони ин назария нақл кардем, бигзарем ба асли матлаб, ки «ваҳдати вуҷуд» чӣ мушкил дорад?!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 таърифи ин назария дар воқеъ чӣ тавр аст!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Дар тули торих, аксари имомон ва бузургони аҳли суннат ва ҳамчунин фуқаҳои мазоҳиби чаҳоргонаи аҳли суннат бо ин назария мухолиф будаанд ва ҳукми залолати ин назария ва пайравони онро эълом кардаанд. Вале мутаассифона аз сабаби дастнорасӣ ба китобҳо ва маҳрум мондан аз таҳсили улуми шаръӣ, имрӯз мардум аз ин ҳақиқатҳо ғофиланд ва барояшон мухолифат бо ин назария як амри гушношунидест.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lang w:val="tg-Cyrl-TJ"/>
        </w:rPr>
        <w:t>Ба назари мо ақидаи «Ваҳдатул-вуҷуд», ки меҳвари аслии таълимоти ирфону тасаввуф ва фалсафаи (ба ном) исломӣ мебошад, ҳодиму барбод-диҳандаи тамоми аркони дин аст.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Инак дар поён далелҳое бар ин даъво:</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lang w:val="tg-Cyrl-TJ"/>
        </w:rPr>
        <w:t>1. Ва аввалин нуктаи баҳс ва мухолифати мо бо ин ақида, худи ҳақиқати ин назария мебошад, ки бар се ваҷҳ аст: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а) Сухан кардан дар зоти Худованди таъоло бо қавоъиди фалсафӣ ва ихтироъи сифоту истилоҳот.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б) Сояву хаёл ва ваҳму пуч донистани ин олам (ва дар натиҷа инкори вуҷуди ин олам) дар қиболи вуҷуди Аллоҳ таъоло.</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 Айни ҳамдигар донистани Холиқу махлуқ.</w:t>
      </w:r>
    </w:p>
    <w:p w:rsidR="00D83ED9" w:rsidRPr="00ED3D88" w:rsidRDefault="00D83ED9" w:rsidP="00D83ED9">
      <w:pPr>
        <w:bidi w:val="0"/>
        <w:jc w:val="both"/>
        <w:rPr>
          <w:rFonts w:ascii="Palatino Linotype" w:hAnsi="Palatino Linotype" w:cs="Traditional Arabic"/>
          <w:b/>
          <w:bCs/>
          <w:sz w:val="30"/>
          <w:szCs w:val="30"/>
          <w:lang w:val="tg-Cyrl-TJ"/>
        </w:rPr>
      </w:pP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lang w:val="tg-Cyrl-TJ"/>
        </w:rPr>
        <w:t>Мепардозем ба баррасии вуҷуҳи ихтилоф:</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lastRenderedPageBreak/>
        <w:t>1). Аввалин ваҷҳи ихтилофи мо бо пайравони ваҳдати вуҷуд ин аст, ки онҳо дар зоти Аллоҳ таъоло дар асоси қавоиди фалсафии Арастуву Афлотун сухан карданд ва Худовандро бо истилоҳоти гуногуни фалсафӣ сифат карданд, амсоли Вуҷуди мутлақ, Зоти номаҳдуд, Номутаноҳӣ, Ваҳдат дар касрату касрат дар ваҳдат, ва ғайраҳо ки дар мақолаи алоҳида </w:t>
      </w:r>
      <w:r w:rsidRPr="0013392C">
        <w:rPr>
          <w:rFonts w:ascii="Palatino Linotype" w:hAnsi="Palatino Linotype" w:cs="Traditional Arabic"/>
          <w:i/>
          <w:iCs/>
          <w:sz w:val="30"/>
          <w:szCs w:val="30"/>
          <w:lang w:val="tg-Cyrl-TJ"/>
        </w:rPr>
        <w:t>(ба унвони «Шинохти Худованд дар партави ваҳйи илоҳӣ, на фалсафаву калом»)</w:t>
      </w:r>
      <w:r w:rsidRPr="0013392C">
        <w:rPr>
          <w:rFonts w:ascii="Palatino Linotype" w:hAnsi="Palatino Linotype" w:cs="Traditional Arabic"/>
          <w:sz w:val="30"/>
          <w:szCs w:val="30"/>
          <w:lang w:val="tg-Cyrl-TJ"/>
        </w:rPr>
        <w:t> ба он бармегардем иншоаллоҳ.</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2). Дуввум ваҷҳи ихтилоф он аст, ки назарияи ваҳдати вуҷуд, ин ҳама мавҷудотро хаёлу ваҳм медонад ва ба маънои дигар ҳақиқати вуҷуди ин махлуқотро инкор мекунад. Ва ин гуна назар ба махлуқот (яъне маҷозу хаёл донистани онҳо) мухолифи ваҳй ва ақлу мантиқ аст.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Мухолифи ваҳй (яъне Қуръону Суннат) буданаш дар он аст, ки ваҳйи илоҳӣ дуто ҳастиро исбот кардааст, ки ҳастии Холиқ ва ҳастии Махлуқ мебошад. Ва тамоми таъолими шариъат низ барои ҳамин мавҷуд (яъне махлуқ) равона шудааст, ки вуҷуди ҳақиқӣ дорад, ва илло ин ҳама фиристодани Паёмбарон ва нозил кардани Китобҳо ва барпо кардани бозори Қиёмат ва Ҳисобу Ҷазо маъное надорад.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 ҳеҷ имоме аз аиммаи муслимин чунин бардоште аз ислом накардааст, ки вуҷуди махлуқ ваҳм асту хаёл, ба ҷуз аз пайравони Ибни Арабӣ, ки дину эътиқоди худро аз Арастуву Афлотун гирифтанд…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 ин ваҳму хаёл ва маҷоз донистани махлуқот мунҷар ба он мешавад, ки аслан маънои бандагӣ ва убудият аз байн меравад ва ҳаққу ботил вуҷуд надорад ва ҳама чиз як чиз аст, (ки Ибни Арабӣ дар ниҳоят ошкор ҳам инро мегӯяд).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xml:space="preserve">3). Ва саввумин ваҷҳи ихтилофи мо бо назарияи «Ваҳдати вуҷуд» он аст, ки ин назария Холиқу махлуқро айни ҳамдигар ва як чиз </w:t>
      </w:r>
      <w:r w:rsidRPr="0013392C">
        <w:rPr>
          <w:rFonts w:ascii="Palatino Linotype" w:hAnsi="Palatino Linotype" w:cs="Traditional Arabic"/>
          <w:sz w:val="30"/>
          <w:szCs w:val="30"/>
          <w:lang w:val="tg-Cyrl-TJ"/>
        </w:rPr>
        <w:lastRenderedPageBreak/>
        <w:t>медонад. Ва ин нукта (яъне ҳама чизро якӣ донистан) асли ин назария мебошад, ки тамоми инҳирофоти боқимонда, ҳама аз осори ин асл мебошанд.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 ба назари аҳли илм куфру зандақае болотар аз ин вуҷуд надорад, ки ҳатто яҳуду насоро ба ин намуди куфр даст наёзидаанд.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Албатта асҳоби мутааххири ин назария аз ошкор кардани ин куфру зандақа меҳаросанд, ва ба ҳар роҳе ин ҳақиқатро пинҳон медоранд, вале чӣ тавре, ки Алӣ </w:t>
      </w:r>
      <w:r w:rsidRPr="0013392C">
        <w:rPr>
          <w:rFonts w:ascii="Palatino Linotype" w:hAnsi="Palatino Linotype" w:cs="Traditional Arabic"/>
          <w:sz w:val="30"/>
          <w:szCs w:val="30"/>
          <w:lang w:val="tt-RU"/>
        </w:rPr>
        <w:t>(Аллоҳ аз ӯ розӣ бод) дар Наҳҷул-Бало</w:t>
      </w:r>
      <w:r w:rsidRPr="0013392C">
        <w:rPr>
          <w:rFonts w:ascii="Palatino Linotype" w:hAnsi="Palatino Linotype" w:cs="Traditional Arabic"/>
          <w:sz w:val="30"/>
          <w:szCs w:val="30"/>
          <w:lang w:val="tg-Cyrl-TJ"/>
        </w:rPr>
        <w:t>ғ</w:t>
      </w:r>
      <w:r w:rsidRPr="0013392C">
        <w:rPr>
          <w:rFonts w:ascii="Palatino Linotype" w:hAnsi="Palatino Linotype" w:cs="Traditional Arabic"/>
          <w:sz w:val="30"/>
          <w:szCs w:val="30"/>
          <w:lang w:val="tt-RU"/>
        </w:rPr>
        <w:t>а гуфтааст:</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ما أضمر أحد شيئاً إلا ظهر في فلتات لسانه وصفحات وجهه</w:t>
      </w:r>
    </w:p>
    <w:p w:rsidR="00D83ED9" w:rsidRPr="0013392C" w:rsidRDefault="00D83ED9" w:rsidP="00D83ED9">
      <w:pPr>
        <w:bidi w:val="0"/>
        <w:jc w:val="both"/>
        <w:rPr>
          <w:rFonts w:ascii="Palatino Linotype" w:hAnsi="Palatino Linotype" w:cs="Traditional Arabic"/>
          <w:sz w:val="30"/>
          <w:szCs w:val="30"/>
        </w:rPr>
      </w:pPr>
      <w:r w:rsidRPr="0013392C">
        <w:rPr>
          <w:rFonts w:ascii="Palatino Linotype" w:hAnsi="Palatino Linotype" w:cs="Traditional Arabic"/>
          <w:sz w:val="30"/>
          <w:szCs w:val="30"/>
          <w:lang w:val="tg-Cyrl-TJ"/>
        </w:rPr>
        <w:t>«Ҳеҷ касе, чизеро пинҳон накард, магар инки дар фалатоти забонаш ва сафаҳоти чеҳрааш намудор мешавад».</w:t>
      </w:r>
      <w:r w:rsidRPr="0013392C">
        <w:rPr>
          <w:rFonts w:ascii="Palatino Linotype" w:hAnsi="Palatino Linotype" w:cs="Traditional Arabic"/>
          <w:i/>
          <w:iCs/>
          <w:sz w:val="30"/>
          <w:szCs w:val="30"/>
          <w:lang w:val="tg-Cyrl-TJ"/>
        </w:rPr>
        <w:t>(Наҳҷул-балоға, ҷ. 2 саҳ. 148).</w:t>
      </w:r>
    </w:p>
    <w:p w:rsidR="00D83ED9" w:rsidRPr="0013392C" w:rsidRDefault="00D83ED9" w:rsidP="00D83ED9">
      <w:pPr>
        <w:bidi w:val="0"/>
        <w:jc w:val="both"/>
        <w:rPr>
          <w:rFonts w:ascii="Palatino Linotype" w:hAnsi="Palatino Linotype" w:cs="Traditional Arabic"/>
          <w:sz w:val="30"/>
          <w:szCs w:val="30"/>
        </w:rPr>
      </w:pPr>
      <w:r w:rsidRPr="0013392C">
        <w:rPr>
          <w:rFonts w:ascii="Palatino Linotype" w:hAnsi="Palatino Linotype" w:cs="Traditional Arabic"/>
          <w:sz w:val="30"/>
          <w:szCs w:val="30"/>
          <w:lang w:val="tg-Cyrl-TJ"/>
        </w:rPr>
        <w:t>Орифон (мутасаввифа) ба мардум мегӯянд, ки мо «Ваҳдати вуҷуд» мегӯем (яъне таҷаллиёт ва зуҳури зот), ва мардумро бо ин ибора мефиребанд: «Касрат дар айни ваҳдат ва ваҳдат дар айни касрат», мисли насоро, ки мегӯянд: «Се дар як ва як дар се»!</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Вале дар маҷолиси хосси худ «Ваҳдати мавҷудро» бо тариқаи Мансури Ҳаллоҷ ба забон меоранд, ки «Ман Худо ҳастам»! Ва инро аз маротиби баландтарини ирфон медонанд… </w:t>
      </w:r>
      <w:r w:rsidRPr="0013392C">
        <w:rPr>
          <w:rFonts w:ascii="Palatino Linotype" w:hAnsi="Palatino Linotype" w:cs="Traditional Arabic"/>
          <w:i/>
          <w:iCs/>
          <w:sz w:val="30"/>
          <w:szCs w:val="30"/>
          <w:lang w:val="tg-Cyrl-TJ"/>
        </w:rPr>
        <w:t>(Қудватул фуқаҳо вал урафо, Тақии Мусавӣ, саҳ. 235).</w:t>
      </w: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Инак дар ин фасли мақола он суханони Ибни Арабӣ ва дигар аз пайравони ин назарияро меорем, ки сароҳатан Холиқу Махлуқро айни ҳамдигар ва як чиз медонанд (Поку муназзаҳ аст Аллоҳ аз ин куфру зандақа).</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rPr>
      </w:pPr>
      <w:r w:rsidRPr="0013392C">
        <w:rPr>
          <w:rFonts w:ascii="Palatino Linotype" w:hAnsi="Palatino Linotype" w:cs="Traditional Arabic"/>
          <w:sz w:val="30"/>
          <w:szCs w:val="30"/>
          <w:lang w:val="tg-Cyrl-TJ"/>
        </w:rPr>
        <w:t>1) Ибни Арабӣ гӯяд:</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lastRenderedPageBreak/>
        <w:t>فما وصفناه بوصف الاّ کنّا نحن ذلک الوصف، فوجودنا وجوده، ونحن مفتقر إلیه من حیث وجودنا، وهو مفتقر إلینا من حیث ظهوره لنفسه</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«Мо ҳар чизе, ки дар бораи Ӯ бигӯем, дар ҳақиқат худро васф кардаем ва дар бораи худ гуфтаем, зеро ҳастии мо ҳастии Ӯст. Мо барои ҳаст шудан ба Ӯ мӯҳтоҷем ва Ӯ барои зоҳир шуданаш ба мо ифтиқор дорад ва муҳтоҷ аст».</w:t>
      </w:r>
      <w:r w:rsidRPr="0013392C">
        <w:rPr>
          <w:rFonts w:ascii="Palatino Linotype" w:hAnsi="Palatino Linotype" w:cs="Traditional Arabic"/>
          <w:i/>
          <w:iCs/>
          <w:sz w:val="30"/>
          <w:szCs w:val="30"/>
          <w:lang w:val="tg-Cyrl-TJ"/>
        </w:rPr>
        <w:t>(Фусусул-ҳикам, саҳ. 164).</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Дар инҷо аз назари Ибни Арабӣ, Худову халқ як чизанд ва ба ҳам ниёз доранд, зеро сурати як ҳақиқатанд, пас махлуқот ҷуз асмо ва сифоти Ҳақ чизи дигаре нестанд.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2) Ибни Арабӣ дар ҷойи дигар бо сароҳат мегӯяд:</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فهذا الفرق بين حيرة أهل الله و حيرة أهل النظر فصاحب العقل ينشد:</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و في كل شي‏ء له آية</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تدل على أنه واحد</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و صاحب التجلي ينشد قولنا في ذلك:</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و في كل شي‏ء له آية</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تدل على أنه عينه‏</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فما في الوجود إلا الله و لا يعرف الله إلا الله و من هذه الحقيقة قال من قال أنا الله كأبي يزيد وسبحاني كغيره من رجال الله المتقدمين</w:t>
      </w:r>
      <w:r w:rsidRPr="0013392C">
        <w:rPr>
          <w:rFonts w:ascii="Palatino Linotype" w:hAnsi="Palatino Linotype" w:cs="Traditional Arabic" w:hint="cs"/>
          <w:sz w:val="30"/>
          <w:szCs w:val="30"/>
          <w:rtl/>
          <w:lang w:bidi="ar-EG"/>
        </w:rPr>
        <w:t>…</w:t>
      </w:r>
    </w:p>
    <w:p w:rsidR="00D83ED9" w:rsidRPr="0013392C" w:rsidRDefault="00D83ED9" w:rsidP="00D83ED9">
      <w:pPr>
        <w:bidi w:val="0"/>
        <w:jc w:val="both"/>
        <w:rPr>
          <w:rFonts w:ascii="Palatino Linotype" w:hAnsi="Palatino Linotype" w:cs="Traditional Arabic"/>
          <w:sz w:val="30"/>
          <w:szCs w:val="30"/>
        </w:rPr>
      </w:pPr>
      <w:r w:rsidRPr="0013392C">
        <w:rPr>
          <w:rFonts w:ascii="Palatino Linotype" w:hAnsi="Palatino Linotype" w:cs="Traditional Arabic"/>
          <w:sz w:val="30"/>
          <w:szCs w:val="30"/>
          <w:lang w:val="tg-Cyrl-TJ"/>
        </w:rPr>
        <w:t>«Фарқ миёни ҳайрати «Аҳлул-лоҳ» ва «аҳли назар» ин аст, ки соҳиби ақл мегӯяд:</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i/>
          <w:iCs/>
          <w:sz w:val="30"/>
          <w:szCs w:val="30"/>
          <w:lang w:val="tg-Cyrl-TJ"/>
        </w:rPr>
        <w:t>Дар ҳама чиз Ӯро нишонаест,</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i/>
          <w:iCs/>
          <w:sz w:val="30"/>
          <w:szCs w:val="30"/>
          <w:lang w:val="tg-Cyrl-TJ"/>
        </w:rPr>
        <w:t>Ки далел аст бар онки Ӯ ягона аст.</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Вале соҳиби таҷаллӣ ин қавли моро месарояд:</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i/>
          <w:iCs/>
          <w:sz w:val="30"/>
          <w:szCs w:val="30"/>
          <w:lang w:val="tg-Cyrl-TJ"/>
        </w:rPr>
        <w:t>Дар ҳама чиз Ӯро нишонаест,</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i/>
          <w:iCs/>
          <w:sz w:val="30"/>
          <w:szCs w:val="30"/>
          <w:lang w:val="tg-Cyrl-TJ"/>
        </w:rPr>
        <w:lastRenderedPageBreak/>
        <w:t>Далолат мекунад, ки он айни Ӯст.</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Пас дар дори вуҷуд ҷуз Худованд чизе нест ва Худовандро ҷуз худаш касеву чизе намешиносад. Пас дар асоси ҳамин ҳақиқат аст, ки шахсе «Ман Аллоҳ ҳастам» мегӯяд, мисли Боязид ва ё ки мегӯяд «Субҳонӣ (мо аъзама шаънӣ)», мисли дигар аз мутақаддимин».</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r w:rsidRPr="0013392C">
        <w:rPr>
          <w:rFonts w:ascii="Palatino Linotype" w:hAnsi="Palatino Linotype" w:cs="Traditional Arabic"/>
          <w:i/>
          <w:iCs/>
          <w:sz w:val="30"/>
          <w:szCs w:val="30"/>
          <w:lang w:val="tg-Cyrl-TJ"/>
        </w:rPr>
        <w:t>(Футуҳоти маккия, ҷ.1 саҳ. 272, боби 50).</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3) Ва билохира дар ҷойи дигари Футуҳот боз ҳам сариҳтар эълон кардааст, ки Худованд айни ашё ҳаст:</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فسبحان من اظهر الأشیاء و هو عینها</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«Поку муназзаҳ ҳаст, оне ки ашёро зоҳир кард ва Ӯ айни он ашё ҳаст». </w:t>
      </w:r>
      <w:r w:rsidRPr="0013392C">
        <w:rPr>
          <w:rFonts w:ascii="Palatino Linotype" w:hAnsi="Palatino Linotype" w:cs="Traditional Arabic"/>
          <w:i/>
          <w:iCs/>
          <w:sz w:val="30"/>
          <w:szCs w:val="30"/>
          <w:lang w:val="tg-Cyrl-TJ"/>
        </w:rPr>
        <w:t>(Футуҳоти маккия, ҷ. 2 саҳ. 459)</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4) Маҳмуди Шабистарӣ яке аз урафои қарни ҳаштум низ сурудааст: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«Ҷаноби ҳазрати Ҳақро «дуӣ» нест,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Дар он ҳазрат ману мову туӣ нест.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Ману мову туву ӯ ҳаст як чиз,</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u w:val="single"/>
          <w:lang w:val="tg-Cyrl-TJ"/>
        </w:rPr>
        <w:t>Ки дар «ваҳдат» набошад ҳеҷ тамйиз.</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Шавад бо ваҷҳ боқӣ, ғайр ҳолик,</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Яке гардад сулуку сайру солик».</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i/>
          <w:iCs/>
          <w:sz w:val="30"/>
          <w:szCs w:val="30"/>
          <w:lang w:val="tg-Cyrl-TJ"/>
        </w:rPr>
        <w:t>(Маҳмуди Шабистарӣ, Гулшани Роз).</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lastRenderedPageBreak/>
        <w:t>5) Хумайнӣ дар таълиқоти худ бар шарҳи «Фусусул-ҳикам»-и Ибни Арабӣ мегӯяд:</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وهذا من الأسرار التي لا يمكن افشاء حقيقتها والتصريح بها فالعالم خيال في خيال ووهم في وهم ليس في الدار غيره ديار تأمل تعرف</w:t>
      </w:r>
      <w:r w:rsidRPr="0013392C">
        <w:rPr>
          <w:rFonts w:ascii="Palatino Linotype" w:hAnsi="Palatino Linotype" w:cs="Traditional Arabic"/>
          <w:sz w:val="30"/>
          <w:szCs w:val="30"/>
          <w:lang w:val="ru-RU"/>
        </w:rPr>
        <w:t>.</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 ин аз ҷумлаи асрорест, ки баёну ифшои ҳақиқати он ва тасриҳи он имкон надорад, пас олам ҳама хаёл дар хаёл ва ваҳм дар ваҳм аст, дар ин диёр (сарои олам) дайёре (мавҷуде) ғайри Ӯ нест, тааммул бикун хоҳӣ донист». </w:t>
      </w:r>
      <w:r w:rsidRPr="0013392C">
        <w:rPr>
          <w:rFonts w:ascii="Palatino Linotype" w:hAnsi="Palatino Linotype" w:cs="Traditional Arabic"/>
          <w:i/>
          <w:iCs/>
          <w:sz w:val="30"/>
          <w:szCs w:val="30"/>
          <w:lang w:val="tg-Cyrl-TJ"/>
        </w:rPr>
        <w:t>(Таълиқот бар шарҳи Фусусул-ҳикам, саҳ. 299)</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Хумайнӣ дар ҷойи дигар дар тафсири сураи Ҳамд ҳама махлуқотро мисли амвоҷи баҳр медонад, ки дар асл ҳамон баҳр мебошанд: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«Аслан ба ҳасби воқеъ, ғайри Ҳақ таъоло чизе нест. Ҳарчӣ ҳаст Ӯст, ҷилва ҳам ҷилваи Ӯст… Наметавонем як мисоли мунтабиқ пайдо бикунем, шояд наздиктар аз ҳама мисолҳо мавҷи дарё бошад, мавҷ нисбат ба дарё. Мавҷ аз дарё хориҷ нест. Мавҷ дарёст…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Ин мавҷҳое, ки ҳосил мешавад, тасаввур мекунем, кааннаҳу ба назари мо меояд, ки дарёву мавҷ ду чизанд, дар ҳоле ки ғайри дарё чизе нест, мавҷи дарё ҳамон дарёст. Олам як мавҷе ҳаст.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Албатта мисол боз ҳам ҳамон тавр аст, ки қоил гуфтааст, ки: «Хок бар фарқи ману тамсили ман», мисол надорад».</w:t>
      </w:r>
      <w:r w:rsidRPr="0013392C">
        <w:rPr>
          <w:rFonts w:ascii="Palatino Linotype" w:hAnsi="Palatino Linotype" w:cs="Traditional Arabic"/>
          <w:i/>
          <w:iCs/>
          <w:sz w:val="30"/>
          <w:szCs w:val="30"/>
          <w:lang w:val="tg-Cyrl-TJ"/>
        </w:rPr>
        <w:t>(Дуруси тафсири сураи Ҳамд, ҷаласаи чаҳорум).</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6) Мулло Садро, ки аз бузургони асҳоби ин назария баъд аз Ибни Арабӣ мебошад ва китоби «Ҳикмати мутаъолия дар асфори арбаъа»-и худро дар ин мавзӯъ нигоштааст, ки меҳвари аслии баҳсаш ҳам «Ваҳдати вуҷуд» аст, мегӯяд:</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lang w:bidi="fa-IR"/>
        </w:rPr>
        <w:lastRenderedPageBreak/>
        <w:t>فكذلك‌ هداني‌ ربّي‌ بالبرهان‌ النّير العرشي‌ الي‌ صراط‌ مستقيم‌ من‌ كون‌ الموجود و الوجود منحصراً في‌ حقيقة‌ واحدة‌ شخصية‌ لا شريك‌ له‌ في‌ الموجودية‌ الحقيقية‌ و لا ثاني‌ له‌ في‌ العين‌، و ليس‌ في‌ دار الوجود غيره‌ ديّار، و كلّما  يترا آي‌  في‌ عالم‌ الوجود إنّه‌ غير الواجب‌ المعبود فانّما هو من‌ ظهورات‌ ذاته‌ و تجليات‌ صفاته‌ الّتي‌ هي‌ في‌ الحقيقة‌ عين‌ ذاته‌</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«…Ҳамон гуна, парвардигорам бо бурҳони тобноки аршӣ ба роҳи мустақим ҳидоятам намуд ва он (яъне ҳидоят) инки «Мавҷуд» ва «Вуҷуд» мунҳасир дар ҳақиқати воҳиди шахсӣ ҳаст, ки ҳеҷ шарике барои Ӯ дар мавҷудияти ҳақиқӣ ва ҳеҷ дуввумӣ барои Ӯ дар хориҷ нест ва дар ҷаҳони ҳастӣ ғайри Ӯ касе нест. Ва ҳарчӣ дар ҷаҳон ҳастӣ ба назар меояд, ки ғайри «Воҷиби Маъбуд (яъне Худованд)» аст, чизе нест ҷуз партаве аз зуҳуроти зоти Ӯ ва таҷаллиёти сифоти Ӯ, ки онҳам дар воқеъ айни зоти Ӯст». </w:t>
      </w:r>
      <w:r w:rsidRPr="0013392C">
        <w:rPr>
          <w:rFonts w:ascii="Palatino Linotype" w:hAnsi="Palatino Linotype" w:cs="Traditional Arabic"/>
          <w:i/>
          <w:iCs/>
          <w:sz w:val="30"/>
          <w:szCs w:val="30"/>
          <w:lang w:val="tg-Cyrl-TJ"/>
        </w:rPr>
        <w:t>(Асфори арбаъа, ҷ.2 саҳ. 291-292).</w:t>
      </w:r>
    </w:p>
    <w:p w:rsidR="00D83ED9" w:rsidRPr="0013392C" w:rsidRDefault="009E16B2" w:rsidP="00D83ED9">
      <w:pPr>
        <w:bidi w:val="0"/>
        <w:jc w:val="both"/>
        <w:rPr>
          <w:rFonts w:ascii="Palatino Linotype" w:hAnsi="Palatino Linotype" w:cs="Traditional Arabic"/>
          <w:sz w:val="30"/>
          <w:szCs w:val="30"/>
          <w:lang w:val="tg-Cyrl-TJ"/>
        </w:rPr>
      </w:pPr>
      <w:hyperlink r:id="rId9" w:history="1">
        <w:r w:rsidR="00D83ED9" w:rsidRPr="0013392C">
          <w:rPr>
            <w:rStyle w:val="Hyperlink"/>
            <w:rFonts w:ascii="Palatino Linotype" w:hAnsi="Palatino Linotype" w:cs="Traditional Arabic"/>
            <w:sz w:val="30"/>
            <w:szCs w:val="30"/>
            <w:lang w:val="tg-Cyrl-TJ"/>
          </w:rPr>
          <w:t>http://www.mullasadra.org/new_site/persian/Paper%20Bank/hekmat%20motaliyeh/A.shirvani.htm</w:t>
        </w:r>
      </w:hyperlink>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 ин китоби «Асфор» яке аз кутуби асл</w:t>
      </w:r>
      <w:r w:rsidRPr="0013392C">
        <w:rPr>
          <w:rFonts w:ascii="Palatino Linotype" w:hAnsi="Palatino Linotype" w:cs="Traditional Arabic"/>
          <w:sz w:val="30"/>
          <w:szCs w:val="30"/>
          <w:lang w:val="tt-RU"/>
        </w:rPr>
        <w:t>ӣ дар ҳавзаҳои илмии Эрон мебошад, ки бар асоси он, фанни ирфону фалсафа тадрис мешавад…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7) Дар «Ваҳдати вуҷуд» кор ба ҷойе мерасад, ки дар ниҳоят ҳама мисли Ҳаллоҷ даъвои улуҳийят хоҳанд кард. Маноқибул-Орифин нақл мекунад: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«Як бор Мавлавӣ ба ходими худ (шайх Муҳаммад) гуфт: Фалон корро ба итмом бирасон. Шайх Муҳаммад дар ҷавоб гуфт: Ин-шоаллоҳ!</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Мавлоно бонг барвай зад, ки: Эй аблаҳ! Пас гӯянда кист?». </w:t>
      </w:r>
      <w:r w:rsidRPr="0013392C">
        <w:rPr>
          <w:rFonts w:ascii="Palatino Linotype" w:hAnsi="Palatino Linotype" w:cs="Traditional Arabic"/>
          <w:i/>
          <w:iCs/>
          <w:sz w:val="30"/>
          <w:szCs w:val="30"/>
          <w:lang w:val="tg-Cyrl-TJ"/>
        </w:rPr>
        <w:t>(Мавлоно Ҷалолуддин саҳ. 312).</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Дар мавриди дигар Шамс муддаъӣ мешавад, ки фармудаҳои ӯ айни ҳаққ аст ва ниёз ба бурҳону далел надорад ва касонеро, ки аз вай дархости далел кардаанд мавриди сарзаниш қарор медиҳад:</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lang w:bidi="fa-IR"/>
        </w:rPr>
        <w:lastRenderedPageBreak/>
        <w:t>«…مرا نمي شناسند در اين عالم. پس كه را مي پرستند؟! مرا گويي برهان بنما. از من برهان خواهند!از برهان حق خواهند، اما از حق برهان نخواهند!»</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«Маро намешиносанд дар ин олам. Пас киро мепарастанд?!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Маро гӯӣ бурҳон бинмо. Аз ман бурҳон хоҳанд!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Аз бурҳон ҳақ хоҳанд, аммо аз ҳаққ бурҳон нахоҳанд!».</w:t>
      </w:r>
      <w:r w:rsidRPr="0013392C">
        <w:rPr>
          <w:rFonts w:ascii="Palatino Linotype" w:hAnsi="Palatino Linotype" w:cs="Traditional Arabic"/>
          <w:i/>
          <w:iCs/>
          <w:sz w:val="30"/>
          <w:szCs w:val="30"/>
          <w:lang w:val="tg-Cyrl-TJ"/>
        </w:rPr>
        <w:t>(Мавлоно Ҷалолуддин саҳ. 109).</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8) Ва аз ин ҳам шаниътар ва бадтар гуфтори Шамс аст дар васфи Мавлоно, ки тамомии сифатҳои илоҳиро ба Мавлоно нисбат медиҳад:</w:t>
      </w:r>
    </w:p>
    <w:p w:rsidR="00D83ED9" w:rsidRPr="0013392C" w:rsidRDefault="00D83ED9" w:rsidP="00D83ED9">
      <w:pPr>
        <w:tabs>
          <w:tab w:val="center" w:pos="4153"/>
        </w:tabs>
        <w:jc w:val="both"/>
        <w:rPr>
          <w:rFonts w:ascii="Palatino Linotype" w:hAnsi="Palatino Linotype" w:cs="Traditional Arabic"/>
          <w:sz w:val="30"/>
          <w:szCs w:val="30"/>
        </w:rPr>
      </w:pPr>
      <w:r w:rsidRPr="0013392C">
        <w:rPr>
          <w:rFonts w:ascii="Palatino Linotype" w:hAnsi="Palatino Linotype" w:cs="Traditional Arabic" w:hint="cs"/>
          <w:sz w:val="30"/>
          <w:szCs w:val="30"/>
          <w:rtl/>
          <w:lang w:bidi="fa-IR"/>
        </w:rPr>
        <w:t>«اگر از تو پرسند مولانا را چون شناختي؟</w:t>
      </w:r>
      <w:r w:rsidRPr="0013392C">
        <w:rPr>
          <w:rFonts w:ascii="Palatino Linotype" w:hAnsi="Palatino Linotype" w:cs="Traditional Arabic"/>
          <w:sz w:val="30"/>
          <w:szCs w:val="30"/>
          <w:rtl/>
          <w:lang w:bidi="fa-IR"/>
        </w:rPr>
        <w:tab/>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lang w:bidi="fa-IR"/>
        </w:rPr>
        <w:t>بگو از قولش مي پرسي: اِنّ</w:t>
      </w:r>
      <w:r w:rsidRPr="0013392C">
        <w:rPr>
          <w:rFonts w:ascii="Palatino Linotype" w:hAnsi="Palatino Linotype" w:cs="Traditional Arabic" w:hint="cs"/>
          <w:sz w:val="30"/>
          <w:szCs w:val="30"/>
          <w:rtl/>
        </w:rPr>
        <w:t>َ</w:t>
      </w:r>
      <w:r w:rsidRPr="0013392C">
        <w:rPr>
          <w:rFonts w:ascii="Palatino Linotype" w:hAnsi="Palatino Linotype" w:cs="Traditional Arabic" w:hint="cs"/>
          <w:sz w:val="30"/>
          <w:szCs w:val="30"/>
          <w:rtl/>
          <w:lang w:bidi="fa-IR"/>
        </w:rPr>
        <w:t>ما اَمْرُهُ اِذا اَرادَ شَيْئاً اَنْ يَقُولَ لَهُ كُنْ فَيَكُون</w:t>
      </w:r>
      <w:r w:rsidRPr="0013392C">
        <w:rPr>
          <w:rFonts w:ascii="Palatino Linotype" w:hAnsi="Palatino Linotype" w:cs="Traditional Arabic" w:hint="cs"/>
          <w:sz w:val="30"/>
          <w:szCs w:val="30"/>
          <w:rtl/>
        </w:rPr>
        <w:t>ُ</w:t>
      </w:r>
      <w:r w:rsidRPr="0013392C">
        <w:rPr>
          <w:rFonts w:ascii="Palatino Linotype" w:hAnsi="Palatino Linotype" w:cs="Traditional Arabic" w:hint="cs"/>
          <w:sz w:val="30"/>
          <w:szCs w:val="30"/>
          <w:rtl/>
          <w:lang w:bidi="fa-IR"/>
        </w:rPr>
        <w:t>…</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lang w:bidi="fa-IR"/>
        </w:rPr>
        <w:t>اگر از صفتش مي پرسي: ق</w:t>
      </w:r>
      <w:r w:rsidRPr="0013392C">
        <w:rPr>
          <w:rFonts w:ascii="Palatino Linotype" w:hAnsi="Palatino Linotype" w:cs="Traditional Arabic" w:hint="cs"/>
          <w:sz w:val="30"/>
          <w:szCs w:val="30"/>
          <w:rtl/>
        </w:rPr>
        <w:t>ٌ</w:t>
      </w:r>
      <w:r w:rsidRPr="0013392C">
        <w:rPr>
          <w:rFonts w:ascii="Palatino Linotype" w:hAnsi="Palatino Linotype" w:cs="Traditional Arabic" w:hint="cs"/>
          <w:sz w:val="30"/>
          <w:szCs w:val="30"/>
          <w:rtl/>
          <w:lang w:bidi="fa-IR"/>
        </w:rPr>
        <w:t>لْ هُوَ اللهُ اَحَدٌ،…</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lang w:bidi="fa-IR"/>
        </w:rPr>
        <w:t>و اگر از نامش مي پرسي: هُوَ اللهُ الّ</w:t>
      </w:r>
      <w:r w:rsidRPr="0013392C">
        <w:rPr>
          <w:rFonts w:ascii="Palatino Linotype" w:hAnsi="Palatino Linotype" w:cs="Traditional Arabic" w:hint="cs"/>
          <w:sz w:val="30"/>
          <w:szCs w:val="30"/>
          <w:rtl/>
        </w:rPr>
        <w:t>َ</w:t>
      </w:r>
      <w:r w:rsidRPr="0013392C">
        <w:rPr>
          <w:rFonts w:ascii="Palatino Linotype" w:hAnsi="Palatino Linotype" w:cs="Traditional Arabic" w:hint="cs"/>
          <w:sz w:val="30"/>
          <w:szCs w:val="30"/>
          <w:rtl/>
          <w:lang w:bidi="fa-IR"/>
        </w:rPr>
        <w:t>ذي لا اِلهَ اِلّا ه</w:t>
      </w:r>
      <w:r w:rsidRPr="0013392C">
        <w:rPr>
          <w:rFonts w:ascii="Palatino Linotype" w:hAnsi="Palatino Linotype" w:cs="Traditional Arabic" w:hint="cs"/>
          <w:sz w:val="30"/>
          <w:szCs w:val="30"/>
          <w:rtl/>
        </w:rPr>
        <w:t>ُ</w:t>
      </w:r>
      <w:r w:rsidRPr="0013392C">
        <w:rPr>
          <w:rFonts w:ascii="Palatino Linotype" w:hAnsi="Palatino Linotype" w:cs="Traditional Arabic" w:hint="cs"/>
          <w:sz w:val="30"/>
          <w:szCs w:val="30"/>
          <w:rtl/>
          <w:lang w:bidi="fa-IR"/>
        </w:rPr>
        <w:t>وَ…</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lang w:bidi="fa-IR"/>
        </w:rPr>
        <w:t>و اگر از ذاتش مي پرسي: ل</w:t>
      </w:r>
      <w:r w:rsidRPr="0013392C">
        <w:rPr>
          <w:rFonts w:ascii="Palatino Linotype" w:hAnsi="Palatino Linotype" w:cs="Traditional Arabic" w:hint="cs"/>
          <w:sz w:val="30"/>
          <w:szCs w:val="30"/>
          <w:rtl/>
        </w:rPr>
        <w:t>َ</w:t>
      </w:r>
      <w:r w:rsidRPr="0013392C">
        <w:rPr>
          <w:rFonts w:ascii="Palatino Linotype" w:hAnsi="Palatino Linotype" w:cs="Traditional Arabic" w:hint="cs"/>
          <w:sz w:val="30"/>
          <w:szCs w:val="30"/>
          <w:rtl/>
          <w:lang w:bidi="fa-IR"/>
        </w:rPr>
        <w:t>يْسَ كَمِثْلِهِ شَيْئٌ…»</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«Агар аз ту пурсанд Мавлоноро чун шинохтӣ?</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Бигӯ, аз қавлу суханаш мепурсӣ: Чун амреро ирода кунад, мегӯяд бишав, пас мешавад…</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Агар аз сифаташ мепурсӣ: Бигӯ: Ӯ Аллоҳи ягона аст…</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Агар аз номаш мепурсӣ: Ӯст Аллоҳе, ки нест маъбуде ҷуз Ӯ…</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Агар аз зоташ мепурсӣ: Нест монанди Ӯ чизе…».</w:t>
      </w:r>
      <w:r w:rsidRPr="0013392C">
        <w:rPr>
          <w:rFonts w:ascii="Palatino Linotype" w:hAnsi="Palatino Linotype" w:cs="Traditional Arabic"/>
          <w:i/>
          <w:iCs/>
          <w:sz w:val="30"/>
          <w:szCs w:val="30"/>
          <w:lang w:val="tg-Cyrl-TJ"/>
        </w:rPr>
        <w:t>(Мақолоти Шамс, саҳ. 203 ва дар нусхаи Интишороти Хоразмӣ, соли 1377, саҳ. 789).</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 </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g-Cyrl-TJ"/>
        </w:rPr>
        <w:t>9) </w:t>
      </w:r>
      <w:r w:rsidRPr="0013392C">
        <w:rPr>
          <w:rFonts w:ascii="Palatino Linotype" w:hAnsi="Palatino Linotype" w:cs="Traditional Arabic"/>
          <w:sz w:val="30"/>
          <w:szCs w:val="30"/>
          <w:lang w:val="tt-RU"/>
        </w:rPr>
        <w:t xml:space="preserve">Иқтибоси дигареро ҳам аз китоби Ибни Арабӣ меорем, ки дар қуллаи илҳод ва имонситезӣ мебошад, ки аз хондани он қалби инсони муваҳҳидро даҳшате фаро мегирад, ки чӣ тавр инсоне ба </w:t>
      </w:r>
      <w:r w:rsidRPr="0013392C">
        <w:rPr>
          <w:rFonts w:ascii="Palatino Linotype" w:hAnsi="Palatino Linotype" w:cs="Traditional Arabic"/>
          <w:sz w:val="30"/>
          <w:szCs w:val="30"/>
          <w:lang w:val="tt-RU"/>
        </w:rPr>
        <w:lastRenderedPageBreak/>
        <w:t>ин ҳадд гумроҳ мешавад, ва низ дар ҳайрат меафтад, ки бо чӣ далеле соҳиби чунин ақида ва суханонро имр</w:t>
      </w:r>
      <w:r w:rsidRPr="0013392C">
        <w:rPr>
          <w:rFonts w:ascii="Palatino Linotype" w:hAnsi="Palatino Linotype" w:cs="Traditional Arabic"/>
          <w:sz w:val="30"/>
          <w:szCs w:val="30"/>
          <w:lang w:val="tg-Cyrl-TJ"/>
        </w:rPr>
        <w:t>ӯ</w:t>
      </w:r>
      <w:r w:rsidRPr="0013392C">
        <w:rPr>
          <w:rFonts w:ascii="Palatino Linotype" w:hAnsi="Palatino Linotype" w:cs="Traditional Arabic"/>
          <w:sz w:val="30"/>
          <w:szCs w:val="30"/>
          <w:lang w:val="tt-RU"/>
        </w:rPr>
        <w:t>з Имоми Акбар мег</w:t>
      </w:r>
      <w:r w:rsidRPr="0013392C">
        <w:rPr>
          <w:rFonts w:ascii="Palatino Linotype" w:hAnsi="Palatino Linotype" w:cs="Traditional Arabic"/>
          <w:sz w:val="30"/>
          <w:szCs w:val="30"/>
          <w:lang w:val="tg-Cyrl-TJ"/>
        </w:rPr>
        <w:t>ӯя</w:t>
      </w:r>
      <w:r w:rsidRPr="0013392C">
        <w:rPr>
          <w:rFonts w:ascii="Palatino Linotype" w:hAnsi="Palatino Linotype" w:cs="Traditional Arabic"/>
          <w:sz w:val="30"/>
          <w:szCs w:val="30"/>
          <w:lang w:val="tt-RU"/>
        </w:rPr>
        <w:t>нд?!</w:t>
      </w:r>
    </w:p>
    <w:p w:rsidR="00D83ED9" w:rsidRPr="00263B5D" w:rsidRDefault="00D83ED9" w:rsidP="00D83ED9">
      <w:pPr>
        <w:bidi w:val="0"/>
        <w:jc w:val="both"/>
        <w:rPr>
          <w:rFonts w:ascii="Palatino Linotype" w:hAnsi="Palatino Linotype" w:cs="Traditional Arabic"/>
          <w:sz w:val="30"/>
          <w:szCs w:val="30"/>
          <w:lang w:val="ru-RU"/>
        </w:rPr>
      </w:pPr>
      <w:r w:rsidRPr="0013392C">
        <w:rPr>
          <w:rFonts w:ascii="Palatino Linotype" w:hAnsi="Palatino Linotype" w:cs="Traditional Arabic"/>
          <w:sz w:val="30"/>
          <w:szCs w:val="30"/>
          <w:lang w:val="tt-RU"/>
        </w:rPr>
        <w:t>Ибни Арабӣ дар китоби </w:t>
      </w:r>
      <w:r w:rsidRPr="0013392C">
        <w:rPr>
          <w:rFonts w:ascii="Palatino Linotype" w:hAnsi="Palatino Linotype" w:cs="Traditional Arabic"/>
          <w:sz w:val="30"/>
          <w:szCs w:val="30"/>
          <w:lang w:val="tg-Cyrl-TJ"/>
        </w:rPr>
        <w:t>«Фусусул-ҳикам»</w:t>
      </w:r>
      <w:r w:rsidRPr="0013392C">
        <w:rPr>
          <w:rFonts w:ascii="Palatino Linotype" w:hAnsi="Palatino Linotype" w:cs="Traditional Arabic"/>
          <w:sz w:val="30"/>
          <w:szCs w:val="30"/>
          <w:lang w:val="tt-RU"/>
        </w:rPr>
        <w:t>гуфтааст:</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فإذا شاهد الرجل الحقّ في المرأة كان شهوده في منفعل، و إذا شاهده في نفسه- من حيث ظهور المرأة عنه- شاهده في فاعل و إذا شاهده من [في‏] نفسه من غير استحضار صورة ما تكوّن عنه كان شهوده في منفعل عن الحقّ بلا واسطة.</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فشهوده للحقّ في المرأة أتمّ و أكمل، لأنّه يشاهد الحقّ من حيث هو فاعل و منفعل، و من نفسه من حيث هو منفعل خاصة.</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«Пас чун раҷул (яъне мард) Ҳақро дар маръа (яъне зан) мушоҳида кард, шуҳуд дар мунфаъил кардааст (мурод аз мунфаъил зан аст, ки аз мард мунфаъил мешавад, яъне маҳалли феъли мард аст). Ва чун мард Ҳақро дар нафси худ мушоҳада кунад – аз ҷиҳати зуҳури маръа аз ӯ (яъне мард) -, пас Ҳақро дар фоъил (яъне мард) мушоҳада кардааст…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Пас шуҳуди мард Ҳақ таъолоро дар зан (яъне дар ҳини мувоқаъа) атамм ва акмал аст. Зеро мард Ҳақро дар зан мушоҳада мекунад аз он ҷиҳат, ки Ҳақ фоъил ва мунфаъил аст».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Соҳиби «Мумиддул-ҳимам», яъне Ҳасан Ҳасанзодаи Омилӣ дар шарҳи ин ибораи Ибни Арабӣ мегӯяд: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«Ин сухани шайх мисли дигар матолиби ин китоб, мубтанӣ бар ваҳдати шахсияи вуҷуди манзур дар мазоҳир ва мароёст. </w:t>
      </w:r>
      <w:r w:rsidRPr="0013392C">
        <w:rPr>
          <w:rFonts w:ascii="Palatino Linotype" w:hAnsi="Palatino Linotype" w:cs="Traditional Arabic"/>
          <w:sz w:val="30"/>
          <w:szCs w:val="30"/>
          <w:u w:val="single"/>
          <w:lang w:val="tg-Cyrl-TJ"/>
        </w:rPr>
        <w:t>Худост, ки дорад худоӣ мекунад…</w:t>
      </w:r>
      <w:r w:rsidRPr="0013392C">
        <w:rPr>
          <w:rFonts w:ascii="Palatino Linotype" w:hAnsi="Palatino Linotype" w:cs="Traditional Arabic"/>
          <w:sz w:val="30"/>
          <w:szCs w:val="30"/>
          <w:lang w:val="tg-Cyrl-TJ"/>
        </w:rPr>
        <w:t>».</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Дар идома Ибни Арабӣ мегӯяд:</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فلهذا أحبّ- ص- النساء لكمال شهود الحقّ فيهنّ، إذ لا يشاهد الحقّ مجردا عن المواد أبدا، فإن الله بالذات غني عن العالمين فإذا كان الأمر من هذا الوجه ممتنعا، و لم تكن الشهادة إلّا في مادة، فشهود الحقّ في النساء أعظم الشهود و أكمله</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xml:space="preserve">«Пас, аз ин ҷиҳат Расулуллоҳ муҳибби нисо (хонумҳо) буд, ки камоли шуҳуди Ҳақ дар нисо аст. Чунки Ҳақ таъоло ҳеҷ гоҳ муҷаррад аз мавод (ҷамъи модда) мушоҳада намешавад, зеро Ҳақ таъоло ба ҳасби зот ғанӣ аз оламиён аст. Инак чун амр аз ин ваҷҳ </w:t>
      </w:r>
      <w:r w:rsidRPr="0013392C">
        <w:rPr>
          <w:rFonts w:ascii="Palatino Linotype" w:hAnsi="Palatino Linotype" w:cs="Traditional Arabic"/>
          <w:sz w:val="30"/>
          <w:szCs w:val="30"/>
          <w:lang w:val="tg-Cyrl-TJ"/>
        </w:rPr>
        <w:lastRenderedPageBreak/>
        <w:t>мумтаниъ аст ва шуҳуд имкон надорад магар дар модда, пас шуҳуди Ҳақ дар хонумҳо (дар ҳоли мувоқаъа) азимтарин шуҳуд ва акмали он аст».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i/>
          <w:iCs/>
          <w:sz w:val="30"/>
          <w:szCs w:val="30"/>
          <w:lang w:val="tg-Cyrl-TJ"/>
        </w:rPr>
        <w:t>(Мумиддул-ҳимам дар шарҳи Фусусил-ҳикам. Ҳасан Ҳасанзодаи Омулӣ, нашриёти «Вазорати фарҳанг ва иршоди исломӣ»-Теҳрон, саҳ. 609).</w:t>
      </w:r>
    </w:p>
    <w:p w:rsidR="00D83ED9" w:rsidRPr="0013392C" w:rsidRDefault="009E16B2" w:rsidP="00D83ED9">
      <w:pPr>
        <w:bidi w:val="0"/>
        <w:jc w:val="both"/>
        <w:rPr>
          <w:rFonts w:ascii="Palatino Linotype" w:hAnsi="Palatino Linotype" w:cs="Traditional Arabic"/>
          <w:sz w:val="30"/>
          <w:szCs w:val="30"/>
          <w:lang w:val="tg-Cyrl-TJ"/>
        </w:rPr>
      </w:pPr>
      <w:hyperlink r:id="rId10" w:history="1">
        <w:r w:rsidR="00D83ED9" w:rsidRPr="0013392C">
          <w:rPr>
            <w:rStyle w:val="Hyperlink"/>
            <w:rFonts w:ascii="Palatino Linotype" w:hAnsi="Palatino Linotype" w:cs="Traditional Arabic"/>
            <w:sz w:val="30"/>
            <w:szCs w:val="30"/>
            <w:lang w:val="tg-Cyrl-TJ"/>
          </w:rPr>
          <w:t>http://islamicdoc.org/Multimedia/fbook/1281/index.htm</w:t>
        </w:r>
      </w:hyperlink>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Ло ҳавла ва ло қуввата илло биллоҳ!</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Ин аст натиҷа ва интиҳои назарияи «Ваҳдати вуҷуд»-и Ибни Арабӣ, ки бадтарин бадзабониро нисбати Аллоҳ таъоло раво мебинад ва бадтар аз ин ҳам он аст, ки чунин суханҳои илҳодии ӯ шарҳу тавзеҳ додашуда ва чопу нашр карда мешавад!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rPr>
      </w:pPr>
      <w:r w:rsidRPr="0013392C">
        <w:rPr>
          <w:rFonts w:ascii="Palatino Linotype" w:hAnsi="Palatino Linotype" w:cs="Traditional Arabic"/>
          <w:sz w:val="30"/>
          <w:szCs w:val="30"/>
          <w:lang w:val="tg-Cyrl-TJ"/>
        </w:rPr>
        <w:t>10) Шарҳи машҳуртарин ва мақбултарини «Фусусул-ҳикам», шарҳи Қайсарӣ мебошад, ки назди ҳама аз урафо ва фалосифа машҳур аст. Онҷо омадааст, ки:</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إنها [الذات الالهية] هي الظاهر بصور الحمار والحيوان.</w:t>
      </w:r>
    </w:p>
    <w:p w:rsidR="00D83ED9" w:rsidRPr="0013392C" w:rsidRDefault="00D83ED9" w:rsidP="00D83ED9">
      <w:pPr>
        <w:bidi w:val="0"/>
        <w:jc w:val="both"/>
        <w:rPr>
          <w:rFonts w:ascii="Palatino Linotype" w:hAnsi="Palatino Linotype" w:cs="Traditional Arabic"/>
          <w:sz w:val="30"/>
          <w:szCs w:val="30"/>
        </w:rPr>
      </w:pPr>
      <w:r w:rsidRPr="0013392C">
        <w:rPr>
          <w:rFonts w:ascii="Palatino Linotype" w:hAnsi="Palatino Linotype" w:cs="Traditional Arabic"/>
          <w:sz w:val="30"/>
          <w:szCs w:val="30"/>
          <w:lang w:val="ru-RU"/>
        </w:rPr>
        <w:t>***</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sz w:val="30"/>
          <w:szCs w:val="30"/>
          <w:rtl/>
        </w:rPr>
        <w:t>إن لكل شي‏ء، جماداً كان أو حيواناً، حياة وعلماً ونطقاً وإرادة، وغيرها مما يلزم الذات الالهية، لأنها هي الظاهرة بصور الجماد والحيوان</w:t>
      </w:r>
    </w:p>
    <w:p w:rsidR="00D83ED9" w:rsidRPr="0013392C" w:rsidRDefault="00D83ED9" w:rsidP="00D83ED9">
      <w:pPr>
        <w:bidi w:val="0"/>
        <w:jc w:val="both"/>
        <w:rPr>
          <w:rFonts w:ascii="Palatino Linotype" w:hAnsi="Palatino Linotype" w:cs="Traditional Arabic"/>
          <w:sz w:val="30"/>
          <w:szCs w:val="30"/>
        </w:rPr>
      </w:pPr>
      <w:r w:rsidRPr="0013392C">
        <w:rPr>
          <w:rFonts w:ascii="Palatino Linotype" w:hAnsi="Palatino Linotype" w:cs="Traditional Arabic"/>
          <w:sz w:val="30"/>
          <w:szCs w:val="30"/>
          <w:lang w:val="tg-Cyrl-TJ"/>
        </w:rPr>
        <w:t>«Он (яъне зоти илоҳӣ) зоҳир мешавад дар сурати ҳимор (улоғ) ва ҳайвонҳо…».</w:t>
      </w:r>
    </w:p>
    <w:p w:rsidR="00D83ED9" w:rsidRPr="0013392C" w:rsidRDefault="00D83ED9" w:rsidP="00D83ED9">
      <w:pPr>
        <w:bidi w:val="0"/>
        <w:jc w:val="both"/>
        <w:rPr>
          <w:rFonts w:ascii="Palatino Linotype" w:hAnsi="Palatino Linotype" w:cs="Traditional Arabic"/>
          <w:sz w:val="30"/>
          <w:szCs w:val="30"/>
        </w:rPr>
      </w:pPr>
      <w:r w:rsidRPr="0013392C">
        <w:rPr>
          <w:rFonts w:ascii="Palatino Linotype" w:hAnsi="Palatino Linotype" w:cs="Traditional Arabic"/>
          <w:sz w:val="30"/>
          <w:szCs w:val="30"/>
          <w:lang w:val="tg-Cyrl-TJ"/>
        </w:rPr>
        <w:t>***</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«Ҳама чизҳо, хоҳ ҷамодот бошад ва хоҳ ҳайвонот, дорои ҳаёт, илму нутқ ва ирода ва ғайра аз лавозими зоти илоҳӣ мебошад. Зеро ки он (яъне зоти илоҳӣ) ҳаст, ки дар сурати ҷамодот ва ҳайвонот зоҳир шудааст».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i/>
          <w:iCs/>
          <w:sz w:val="30"/>
          <w:szCs w:val="30"/>
          <w:lang w:val="tg-Cyrl-TJ"/>
        </w:rPr>
        <w:lastRenderedPageBreak/>
        <w:t>(Шарҳи Қайсарӣ бар Фусусул-ҳикам, саҳ. 252 ва дар нусхаи дигар саҳ. 726).</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lang w:val="tg-Cyrl-TJ"/>
        </w:rPr>
        <w:t>Поку муназзаҳ ҳаст Аллоҳ аз ончӣ, ки ин мулҳидон ба Ӯ нисбат додаанд!</w:t>
      </w:r>
    </w:p>
    <w:p w:rsidR="00D83ED9" w:rsidRPr="0013392C" w:rsidRDefault="00D83ED9" w:rsidP="00D83ED9">
      <w:pPr>
        <w:jc w:val="both"/>
        <w:rPr>
          <w:rFonts w:ascii="Palatino Linotype" w:hAnsi="Palatino Linotype" w:cs="Traditional Arabic"/>
          <w:sz w:val="30"/>
          <w:szCs w:val="30"/>
        </w:rPr>
      </w:pPr>
      <w:r w:rsidRPr="0013392C">
        <w:rPr>
          <w:rFonts w:ascii="Palatino Linotype" w:hAnsi="Palatino Linotype" w:cs="Traditional Arabic" w:hint="cs"/>
          <w:b/>
          <w:bCs/>
          <w:sz w:val="30"/>
          <w:szCs w:val="30"/>
          <w:rtl/>
        </w:rPr>
        <w:t>سبحان ربك رب العزة عما يصفون</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Ин буд қатрае аз баҳри суханони асҳоби «Ваҳдати вуҷуд», ки дар ниҳоят ба бадтарин шева Худовандро сифат мекунанд ва Худованди таъоло аз ин васфу ташбеҳи онҳо поку муназзаҳ аст. «Ва мо қадарул-лоҳа ҳаққа қадриҳи…»!</w:t>
      </w:r>
    </w:p>
    <w:p w:rsidR="00D83ED9" w:rsidRPr="0013392C" w:rsidRDefault="00D83ED9" w:rsidP="00D83ED9">
      <w:pPr>
        <w:bidi w:val="0"/>
        <w:ind w:firstLine="72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u w:val="single"/>
          <w:lang w:val="tg-Cyrl-TJ"/>
        </w:rPr>
        <w:t>4. Хулосаи матлаби ин мақола.</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Дар ин мақола танҳо як нукта баррасӣ карда шуд ва онҳам танҳо маънои «Ваҳдати вуҷуд» ва ҳақиқати он дар назди мутасаввифа ва урафо. Ин назарияи «Ваҳдати вуҷуд» асли ҷаҳонбинӣ ва таълимоти ирфон ва тасаввуф аст ва тамоми эътиқодот ва истилоҳоти боқимонда аз шохаҳои ин назария баромадааст. Ва агар ҳақиқати ин назария дарк карда шавад ва куфру илҳод будани ошкор гардад, пас чӣ будани боқимонда аз таъолими ин ирфони музайяф маълуму возеҳ аст ва фаҳми бутлони он низ саҳлу осон аст!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 чӣ тавре, ки дар оғози баҳсамон баён кардем, ин назарияи «Ваҳдати вуҷуд» барбод-диҳандаи тамоми аркони дин мебошад ва куфру илҳодаш аз куфри яҳуд ва насоро низ бадтар аст. Зеро ки дар ниҳоят, ин ақида байни Холиқ ва махлуқ фарқе намегузорад, ва балки ҳардуро як чиз медонад! Ва махлуқ ҳам мисли Мансури Ҳаллоҷ фарёд хоҳад зад, ки Худо ҳаст (Анал-Ҳақ).</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Ва тибқи ақидаи «Ваҳдати вуҷуд», Худованди таъоло бо махлуқоти худ, мисли дарёест бо мавҷҳои худ, ки дар воқеъ як чизанд, яъне дарё…</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lastRenderedPageBreak/>
        <w:t>Зоти муқаддаси Аллоҳ таъолоро бо зоти ин махлуқи пурайбу пур аз нуқсон яке медонанд ва дар ниҳоят Худвандро дар сурати ҳайвонот зоҳиршуда мепиндоранд. (Ъиёзан биллоҳ!)</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Оё куфре бузургтар аз ин аст?!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Агар ин сухан куфр набошад, пас куфр чист?!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 </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sz w:val="30"/>
          <w:szCs w:val="30"/>
          <w:lang w:val="tg-Cyrl-TJ"/>
        </w:rPr>
        <w:t>Магар ҳамин назария нест, ки ҳатто бутро низ Худо медонанд ва ибодати бутро айни ибодати Аллоҳ таъоло гуфтаанд?!</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lang w:val="tg-Cyrl-TJ"/>
        </w:rPr>
        <w:t>Чу куфру дин бувад, қоим ба ҳастӣ,</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lang w:val="tg-Cyrl-TJ"/>
        </w:rPr>
        <w:t>Шавад тавҳид айни бутпарастӣ</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lang w:val="tg-Cyrl-TJ"/>
        </w:rPr>
        <w:t>Чу ашё ҳаст ҳастиро мазоҳир,</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lang w:val="tg-Cyrl-TJ"/>
        </w:rPr>
        <w:t>Аз он ҷумла яке бут бошад охир</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lang w:val="tg-Cyrl-TJ"/>
        </w:rPr>
        <w:t>…</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lang w:val="tg-Cyrl-TJ"/>
        </w:rPr>
        <w:t>Мусалмон гар бидонистӣ, ки бут чист,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b/>
          <w:bCs/>
          <w:sz w:val="30"/>
          <w:szCs w:val="30"/>
          <w:lang w:val="tg-Cyrl-TJ"/>
        </w:rPr>
        <w:t>Бидонистӣ, ки дин дар бутпарастист!</w:t>
      </w:r>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i/>
          <w:iCs/>
          <w:sz w:val="30"/>
          <w:szCs w:val="30"/>
          <w:lang w:val="tg-Cyrl-TJ"/>
        </w:rPr>
        <w:t>(Маҳмуди Шабистарӣ, Гулшани Роз).</w:t>
      </w:r>
    </w:p>
    <w:p w:rsidR="00D83ED9" w:rsidRPr="0013392C" w:rsidRDefault="009E16B2" w:rsidP="00D83ED9">
      <w:pPr>
        <w:bidi w:val="0"/>
        <w:jc w:val="both"/>
        <w:rPr>
          <w:rFonts w:ascii="Palatino Linotype" w:hAnsi="Palatino Linotype" w:cs="Traditional Arabic"/>
          <w:sz w:val="30"/>
          <w:szCs w:val="30"/>
          <w:lang w:val="tg-Cyrl-TJ"/>
        </w:rPr>
      </w:pPr>
      <w:hyperlink r:id="rId11" w:history="1">
        <w:r w:rsidR="00D83ED9" w:rsidRPr="0013392C">
          <w:rPr>
            <w:rStyle w:val="Hyperlink"/>
            <w:rFonts w:ascii="Palatino Linotype" w:hAnsi="Palatino Linotype" w:cs="Traditional Arabic"/>
            <w:i/>
            <w:iCs/>
            <w:sz w:val="30"/>
            <w:szCs w:val="30"/>
            <w:lang w:val="tg-Cyrl-TJ"/>
          </w:rPr>
          <w:t>http://ganjoor.net/shabestari/golshaneraz/sh59/</w:t>
        </w:r>
      </w:hyperlink>
    </w:p>
    <w:p w:rsidR="00D83ED9" w:rsidRPr="0013392C" w:rsidRDefault="00D83ED9" w:rsidP="00D83ED9">
      <w:pPr>
        <w:bidi w:val="0"/>
        <w:jc w:val="both"/>
        <w:rPr>
          <w:rFonts w:ascii="Palatino Linotype" w:hAnsi="Palatino Linotype" w:cs="Traditional Arabic"/>
          <w:sz w:val="30"/>
          <w:szCs w:val="30"/>
          <w:lang w:val="tg-Cyrl-TJ"/>
        </w:rPr>
      </w:pPr>
      <w:r w:rsidRPr="0013392C">
        <w:rPr>
          <w:rFonts w:ascii="Palatino Linotype" w:hAnsi="Palatino Linotype" w:cs="Traditional Arabic"/>
          <w:i/>
          <w:iCs/>
          <w:sz w:val="30"/>
          <w:szCs w:val="30"/>
          <w:lang w:val="tg-Cyrl-TJ"/>
        </w:rPr>
        <w:t> </w:t>
      </w:r>
    </w:p>
    <w:p w:rsidR="004F00E5" w:rsidRPr="00ED3D88" w:rsidRDefault="00D83ED9" w:rsidP="009C79D8">
      <w:pPr>
        <w:bidi w:val="0"/>
        <w:jc w:val="both"/>
        <w:rPr>
          <w:rFonts w:ascii="Palatino Linotype" w:hAnsi="Palatino Linotype" w:cs="Traditional Arabic"/>
          <w:sz w:val="30"/>
          <w:szCs w:val="30"/>
          <w:lang w:val="tg-Cyrl-TJ"/>
        </w:rPr>
        <w:sectPr w:rsidR="004F00E5" w:rsidRPr="00ED3D88" w:rsidSect="000757ED">
          <w:headerReference w:type="default" r:id="rId12"/>
          <w:headerReference w:type="first" r:id="rId13"/>
          <w:pgSz w:w="11907" w:h="16840" w:code="9"/>
          <w:pgMar w:top="1134" w:right="1418" w:bottom="1134" w:left="1418" w:header="709" w:footer="709" w:gutter="0"/>
          <w:pgNumType w:start="0"/>
          <w:cols w:space="708"/>
          <w:titlePg/>
          <w:rtlGutter/>
          <w:docGrid w:linePitch="360"/>
        </w:sectPr>
      </w:pPr>
      <w:r w:rsidRPr="0013392C">
        <w:rPr>
          <w:rFonts w:ascii="Palatino Linotype" w:hAnsi="Palatino Linotype" w:cs="Traditional Arabic"/>
          <w:sz w:val="30"/>
          <w:szCs w:val="30"/>
          <w:lang w:val="tg-Cyrl-TJ"/>
        </w:rPr>
        <w:t>Албатта мо дар ин мақола нуктаҳои дигари баҳсро дар инҳирофи ин назария баён накардаем ва аз сабаби тулонӣ нагаштани ин мақола онро барои мақолаҳои дигар гузоштаем, ки бо унвони «Назарияи «Ваҳдатул-вуҷуд» чӣ осор ва натоиҷе дорад?!», пешкаши хонандагон хоҳад гашт биизниллоҳ…</w:t>
      </w:r>
    </w:p>
    <w:p w:rsidR="00F2420A" w:rsidRPr="009C79D8" w:rsidRDefault="00DC6A8E" w:rsidP="004F00E5">
      <w:pPr>
        <w:tabs>
          <w:tab w:val="left" w:pos="2676"/>
          <w:tab w:val="left" w:pos="2730"/>
        </w:tabs>
        <w:bidi w:val="0"/>
        <w:jc w:val="both"/>
        <w:rPr>
          <w:rFonts w:ascii="Times New Roman" w:hAnsi="Times New Roman" w:cs="Times New Roman"/>
          <w:color w:val="006666"/>
          <w:sz w:val="36"/>
          <w:szCs w:val="36"/>
          <w:lang w:val="tg-Cyrl-TJ"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5A7FDE37" wp14:editId="767CC7B5">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9C79D8">
        <w:rPr>
          <w:rFonts w:ascii="Times New Roman" w:hAnsi="Times New Roman" w:cs="Times New Roman"/>
          <w:color w:val="006666"/>
          <w:sz w:val="36"/>
          <w:szCs w:val="36"/>
          <w:lang w:val="tg-Cyrl-TJ" w:bidi="ar-EG"/>
        </w:rPr>
        <w:tab/>
      </w:r>
    </w:p>
    <w:p w:rsidR="005666DC" w:rsidRPr="009C79D8" w:rsidRDefault="005666DC" w:rsidP="00D40688">
      <w:pPr>
        <w:bidi w:val="0"/>
        <w:jc w:val="center"/>
        <w:rPr>
          <w:rFonts w:ascii="Times New Roman" w:hAnsi="Times New Roman" w:cs="Times New Roman"/>
          <w:color w:val="006666"/>
          <w:sz w:val="40"/>
          <w:szCs w:val="40"/>
          <w:lang w:val="tg-Cyrl-TJ" w:bidi="ar-EG"/>
        </w:rPr>
      </w:pPr>
    </w:p>
    <w:sectPr w:rsidR="005666DC" w:rsidRPr="009C79D8" w:rsidSect="00631E7F">
      <w:headerReference w:type="first" r:id="rId15"/>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6B2" w:rsidRDefault="009E16B2" w:rsidP="00E32771">
      <w:pPr>
        <w:spacing w:after="0" w:line="240" w:lineRule="auto"/>
      </w:pPr>
      <w:r>
        <w:separator/>
      </w:r>
    </w:p>
  </w:endnote>
  <w:endnote w:type="continuationSeparator" w:id="0">
    <w:p w:rsidR="009E16B2" w:rsidRDefault="009E16B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BC2192AB-C447-4A0D-BA40-B6EF122303DC}"/>
    <w:embedBold r:id="rId2" w:fontKey="{74128BA8-26E1-4106-8130-9D3391A19002}"/>
    <w:embedItalic r:id="rId3" w:fontKey="{DE518835-6648-4A84-8C83-2183507A823A}"/>
  </w:font>
  <w:font w:name="Arial">
    <w:panose1 w:val="020B0604020202020204"/>
    <w:charset w:val="00"/>
    <w:family w:val="swiss"/>
    <w:pitch w:val="variable"/>
    <w:sig w:usb0="E0002AFF" w:usb1="C0007843" w:usb2="00000009" w:usb3="00000000" w:csb0="000001FF" w:csb1="00000000"/>
    <w:embedRegular r:id="rId4" w:fontKey="{E3B3A2D4-87B3-4805-9D91-4DA089601A93}"/>
  </w:font>
  <w:font w:name="Times New Roman">
    <w:panose1 w:val="02020603050405020304"/>
    <w:charset w:val="00"/>
    <w:family w:val="roman"/>
    <w:pitch w:val="variable"/>
    <w:sig w:usb0="E0002AFF" w:usb1="C0007841" w:usb2="00000009" w:usb3="00000000" w:csb0="000001FF" w:csb1="00000000"/>
    <w:embedRegular r:id="rId5" w:fontKey="{8742E260-F034-4051-932F-EB08296F5267}"/>
  </w:font>
  <w:font w:name="KFGQPC Uthman Taha Naskh">
    <w:panose1 w:val="02000000000000000000"/>
    <w:charset w:val="B2"/>
    <w:family w:val="auto"/>
    <w:pitch w:val="variable"/>
    <w:sig w:usb0="80002001" w:usb1="90000000" w:usb2="00000008" w:usb3="00000000" w:csb0="00000040" w:csb1="00000000"/>
    <w:embedRegular r:id="rId6" w:fontKey="{3D87BBB3-6C06-4BF6-BC43-8230DD5F2E64}"/>
  </w:font>
  <w:font w:name="Wingdings">
    <w:panose1 w:val="05000000000000000000"/>
    <w:charset w:val="02"/>
    <w:family w:val="auto"/>
    <w:pitch w:val="variable"/>
    <w:sig w:usb0="00000000" w:usb1="10000000" w:usb2="00000000" w:usb3="00000000" w:csb0="80000000" w:csb1="00000000"/>
    <w:embedRegular r:id="rId7" w:fontKey="{68074C6F-F066-45BF-B6C0-48F0DDFE37E8}"/>
  </w:font>
  <w:font w:name="Palatino Linotype">
    <w:panose1 w:val="02040502050505030304"/>
    <w:charset w:val="00"/>
    <w:family w:val="roman"/>
    <w:pitch w:val="variable"/>
    <w:sig w:usb0="E0000287" w:usb1="40000013" w:usb2="00000000" w:usb3="00000000" w:csb0="0000019F" w:csb1="00000000"/>
    <w:embedRegular r:id="rId8" w:fontKey="{6DD7564E-0347-4B57-9E6B-08659F2C8747}"/>
    <w:embedBold r:id="rId9" w:fontKey="{8EFCFE3A-0265-445C-BCA4-6DE6FD1DCC44}"/>
    <w:embedItalic r:id="rId10" w:fontKey="{1FCC30AB-8DB3-4C57-9A87-706EFB89D29D}"/>
  </w:font>
  <w:font w:name="Traditional Arabic">
    <w:panose1 w:val="02020603050405020304"/>
    <w:charset w:val="00"/>
    <w:family w:val="roman"/>
    <w:pitch w:val="variable"/>
    <w:sig w:usb0="00002003" w:usb1="80000000" w:usb2="00000008" w:usb3="00000000" w:csb0="00000041" w:csb1="00000000"/>
    <w:embedRegular r:id="rId11" w:fontKey="{F5251D2E-A01E-47A6-922B-96C8B2C78D5D}"/>
    <w:embedBold r:id="rId12" w:fontKey="{95FAF90F-2EFC-4A39-98B3-FFC123BCACB6}"/>
    <w:embedItalic r:id="rId13" w:fontKey="{6E0B1A60-D8BC-4AF2-9A72-4985610F2BC4}"/>
  </w:font>
  <w:font w:name="KFGQPC Uthmanic Script HAFS">
    <w:panose1 w:val="02000000000000000000"/>
    <w:charset w:val="B2"/>
    <w:family w:val="auto"/>
    <w:pitch w:val="variable"/>
    <w:sig w:usb0="00002001" w:usb1="00000000" w:usb2="00000000" w:usb3="00000000" w:csb0="00000040" w:csb1="00000000"/>
    <w:embedRegular r:id="rId14" w:fontKey="{D34740F9-B92F-461A-88D9-D8F6602B7BCB}"/>
  </w:font>
  <w:font w:name="Wingdings 2">
    <w:panose1 w:val="05020102010507070707"/>
    <w:charset w:val="02"/>
    <w:family w:val="roman"/>
    <w:pitch w:val="variable"/>
    <w:sig w:usb0="00000000" w:usb1="10000000" w:usb2="00000000" w:usb3="00000000" w:csb0="80000000" w:csb1="00000000"/>
    <w:embedRegular r:id="rId15" w:fontKey="{9B3CA72A-BE1B-4872-9C28-0C22BAE3D9FE}"/>
  </w:font>
  <w:font w:name="Gotham Narrow Book">
    <w:altName w:val="Times New Roman"/>
    <w:charset w:val="00"/>
    <w:family w:val="auto"/>
    <w:pitch w:val="variable"/>
    <w:sig w:usb0="00000001" w:usb1="4000004A" w:usb2="00000000" w:usb3="00000000" w:csb0="0000009B" w:csb1="00000000"/>
    <w:embedRegular r:id="rId16" w:fontKey="{B6BAD07D-9D90-4EF5-A3E3-041E59C42540}"/>
  </w:font>
  <w:font w:name="Mohammad Bold Normal">
    <w:charset w:val="B2"/>
    <w:family w:val="auto"/>
    <w:pitch w:val="variable"/>
    <w:sig w:usb0="00002001" w:usb1="00000000" w:usb2="00000000" w:usb3="00000000" w:csb0="00000040" w:csb1="00000000"/>
    <w:embedRegular r:id="rId17" w:fontKey="{A67B3101-7E9C-4944-8A38-6D65C5966500}"/>
  </w:font>
  <w:font w:name="Calibri Light">
    <w:panose1 w:val="020F0302020204030204"/>
    <w:charset w:val="00"/>
    <w:family w:val="swiss"/>
    <w:pitch w:val="variable"/>
    <w:sig w:usb0="A00002EF" w:usb1="4000207B" w:usb2="00000000" w:usb3="00000000" w:csb0="0000019F" w:csb1="00000000"/>
    <w:embedRegular r:id="rId18" w:fontKey="{62B0F7B4-9982-41A0-A503-762DEAEECC3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6B2" w:rsidRDefault="009E16B2" w:rsidP="00E32771">
      <w:pPr>
        <w:spacing w:after="0" w:line="240" w:lineRule="auto"/>
      </w:pPr>
      <w:r>
        <w:separator/>
      </w:r>
    </w:p>
  </w:footnote>
  <w:footnote w:type="continuationSeparator" w:id="0">
    <w:p w:rsidR="009E16B2" w:rsidRDefault="009E16B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3F452440" wp14:editId="5A8C7966">
              <wp:simplePos x="0" y="0"/>
              <wp:positionH relativeFrom="column">
                <wp:posOffset>-600179</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3452239" cy="258573"/>
                        </a:xfrm>
                        <a:prstGeom prst="rect">
                          <a:avLst/>
                        </a:prstGeom>
                        <a:solidFill>
                          <a:schemeClr val="bg1"/>
                        </a:solidFill>
                        <a:ln w="9525">
                          <a:noFill/>
                          <a:miter lim="800000"/>
                          <a:headEnd/>
                          <a:tailEnd/>
                        </a:ln>
                      </wps:spPr>
                      <wps:txbx>
                        <w:txbxContent>
                          <w:p w:rsidR="0013579E" w:rsidRPr="00263B5D" w:rsidRDefault="00D83ED9" w:rsidP="008B030B">
                            <w:pPr>
                              <w:bidi w:val="0"/>
                              <w:spacing w:before="80" w:after="0" w:line="240" w:lineRule="auto"/>
                              <w:ind w:firstLine="170"/>
                              <w:rPr>
                                <w:rFonts w:asciiTheme="majorBidi" w:hAnsiTheme="majorBidi" w:cstheme="majorBidi"/>
                                <w:color w:val="205B83"/>
                                <w:sz w:val="26"/>
                                <w:szCs w:val="26"/>
                                <w:lang w:val="ru-RU" w:bidi="ar-EG"/>
                              </w:rPr>
                            </w:pPr>
                            <w:r w:rsidRPr="00263B5D">
                              <w:rPr>
                                <w:rFonts w:asciiTheme="majorBidi" w:hAnsiTheme="majorBidi" w:cstheme="majorBidi"/>
                                <w:color w:val="006666"/>
                                <w:sz w:val="26"/>
                                <w:szCs w:val="26"/>
                                <w:lang w:val="ru-RU" w:bidi="ar-EG"/>
                              </w:rPr>
                              <w:t>Назарияи «Ваҳдатул-вуҷуд»-и Ибни Арабӣ ва ирфону фалсафа</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63B5D">
                              <w:rPr>
                                <w:rFonts w:asciiTheme="majorBidi" w:hAnsiTheme="majorBidi" w:cstheme="majorBidi"/>
                                <w:noProof/>
                                <w:color w:val="006666"/>
                                <w:sz w:val="26"/>
                                <w:szCs w:val="26"/>
                                <w:lang w:bidi="ar-EG"/>
                              </w:rPr>
                              <w:t>17</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452440" id="Group 1" o:spid="_x0000_s1026" style="position:absolute;left:0;text-align:left;margin-left:-47.25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iFyA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J9HcRg60MM4jY9ww8tOSPWO&#10;8BbpRu4JUIrZBT/cSAU3DRC7KeYUnDbldUOp6Wh1khUV6AGDrta1PQecdTqLMtTnXhaHsVmYcW1u&#10;9NY2CkRPmzb3Ul//2WvXoFyx0kxRuKG2DY5QBv44YCxEarfeGT7K5ZqXj4CX4FbcEIygseHii4d6&#10;EHbuyc9bLIiH6K8MMM+CKNKRwHSiOAmhI6Yj6+kIZgUslXvKQ7a5UiZ6aBgYv4S7qRoDl3bPejL4&#10;CkS0rn53RkKItcq9UwI39UahFWcMLpQLlE64uWKDhi3D9BE0p1BFm+4XR9cDKYdAnHi4HUetA0ma&#10;sVGNe8oMrKIN0wLCy6+wylIkCBOggCHWlD9S1OuRY9EqDdIrfRjYbUKz0+yQ6pESvSBlv5MKwtte&#10;jYfUxUVBmHL0NbO1WQVMHQ0H154zHOZrU2KSzrcYjxZmZ87UaNw2jAsLzOHuaudcrux8pw977j0X&#10;NV6693pkhEBvyfgfh8d5HEHmsAEyy9JFYmOMY3GSpUHm8koc+Vk2cMtFWRf8Xi0+TkgNDJ9yf+4n&#10;fmKSzCH38fLZiOm4CPFcM6umvEcC60yv9XaS1ftIrmcbrVl2mjWOQvApkYWn2Fp+cmw9LbAhTx5S&#10;nI6q/EZx7Xd7gbD2xl8Vls48Q8H0mgmoUOJ/nIKCsXq8pfjzliD4MKADldNYPB4mHs3KId3MoS4M&#10;0oUpZwIoXHyTt4DBQx2YxGEEdaOpIUM/8pO/kGtnvHgu9UzKEZuFFnPIdNqlQyEestLlCz2Pbluo&#10;0GwJFLsqRivUmbw8V52Ukd17McSp15DS4Y7fR05H1ZvsiusGKtIbLNUtFvAWg/JMl3Qf4KeCoJR7&#10;fGh5SBd5p77/uyUg27YrDmUuUBy8M01dMirqvlaCtx/hGXqpC08YcjXjU8kieMgW5PLSTIMHYIfV&#10;DbvrCld86aRzv/uIRTekHQUCeM/dQ+RJHWXnajL+jVoUwrd5RhpaDk9e/U6d9qE9fZhf/AkAAP//&#10;AwBQSwMEFAAGAAgAAAAhAMFGnbrhAAAACgEAAA8AAABkcnMvZG93bnJldi54bWxMj8FKw0AQhu+C&#10;77CM4K3dpKZqYjalFPVUCraCeNtmp0lodjZkt0n69o4nvc0wH/98f76abCsG7H3jSEE8j0Aglc40&#10;VCn4PLzNnkH4oMno1hEquKKHVXF7k+vMuJE+cNiHSnAI+UwrqEPoMil9WaPVfu46JL6dXG914LWv&#10;pOn1yOG2lYsoepRWN8Qfat3hpsbyvL9YBe+jHtcP8euwPZ821+/Dcve1jVGp+7tp/QIi4BT+YPjV&#10;Z3Uo2OnoLmS8aBXM0mTJKA+LpxQEE2maxCCOCpIkAlnk8n+F4gcAAP//AwBQSwECLQAUAAYACAAA&#10;ACEAtoM4kv4AAADhAQAAEwAAAAAAAAAAAAAAAAAAAAAAW0NvbnRlbnRfVHlwZXNdLnhtbFBLAQIt&#10;ABQABgAIAAAAIQA4/SH/1gAAAJQBAAALAAAAAAAAAAAAAAAAAC8BAABfcmVscy8ucmVsc1BLAQIt&#10;ABQABgAIAAAAIQDTXiiFyAQAAOAPAAAOAAAAAAAAAAAAAAAAAC4CAABkcnMvZTJvRG9jLnhtbFBL&#10;AQItABQABgAIAAAAIQDBRp264QAAAAoBAAAPAAAAAAAAAAAAAAAAACIHAABkcnMvZG93bnJldi54&#10;bWxQSwUGAAAAAAQABADzAAAAMAgAAAAA&#10;">
              <v:shapetype id="_x0000_t202" coordsize="21600,21600" o:spt="202" path="m,l,21600r21600,l21600,xe">
                <v:stroke joinstyle="miter"/>
                <v:path gradientshapeok="t" o:connecttype="rect"/>
              </v:shapetype>
              <v:shape id="Text Box 2" o:spid="_x0000_s1027" type="#_x0000_t202" style="position:absolute;left:188;top:587;width:34522;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263B5D" w:rsidRDefault="00D83ED9" w:rsidP="008B030B">
                      <w:pPr>
                        <w:bidi w:val="0"/>
                        <w:spacing w:before="80" w:after="0" w:line="240" w:lineRule="auto"/>
                        <w:ind w:firstLine="170"/>
                        <w:rPr>
                          <w:rFonts w:asciiTheme="majorBidi" w:hAnsiTheme="majorBidi" w:cstheme="majorBidi"/>
                          <w:color w:val="205B83"/>
                          <w:sz w:val="26"/>
                          <w:szCs w:val="26"/>
                          <w:lang w:val="ru-RU" w:bidi="ar-EG"/>
                        </w:rPr>
                      </w:pPr>
                      <w:r w:rsidRPr="00263B5D">
                        <w:rPr>
                          <w:rFonts w:asciiTheme="majorBidi" w:hAnsiTheme="majorBidi" w:cstheme="majorBidi"/>
                          <w:color w:val="006666"/>
                          <w:sz w:val="26"/>
                          <w:szCs w:val="26"/>
                          <w:lang w:val="ru-RU" w:bidi="ar-EG"/>
                        </w:rPr>
                        <w:t>Назарияи «Ваҳдатул-вуҷуд»-и Ибни Арабӣ ва ирфону фалсафа</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63B5D">
                        <w:rPr>
                          <w:rFonts w:asciiTheme="majorBidi" w:hAnsiTheme="majorBidi" w:cstheme="majorBidi"/>
                          <w:noProof/>
                          <w:color w:val="006666"/>
                          <w:sz w:val="26"/>
                          <w:szCs w:val="26"/>
                          <w:lang w:bidi="ar-EG"/>
                        </w:rPr>
                        <w:t>17</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5A1A2933" wp14:editId="38AB7FFD">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41E262"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2659ED6B" wp14:editId="62F5F9E9">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9C79D8">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9C79D8">
                              <w:rPr>
                                <w:rFonts w:ascii="Times New Roman" w:hAnsi="Times New Roman" w:cs="Times New Roman"/>
                                <w:color w:val="006666"/>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59ED6B"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9C79D8">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9C79D8">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118149E5" wp14:editId="27FC9F66">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1F8A0F"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AABF39"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C13D8"/>
    <w:rsid w:val="001F4E86"/>
    <w:rsid w:val="002212F9"/>
    <w:rsid w:val="002219E3"/>
    <w:rsid w:val="0023307B"/>
    <w:rsid w:val="00243B61"/>
    <w:rsid w:val="00263B5D"/>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B6B33"/>
    <w:rsid w:val="004C1156"/>
    <w:rsid w:val="004E00A9"/>
    <w:rsid w:val="004E2AD6"/>
    <w:rsid w:val="004E38A0"/>
    <w:rsid w:val="004E78EF"/>
    <w:rsid w:val="004F00E5"/>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63671"/>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B2618"/>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3538A"/>
    <w:rsid w:val="00944C90"/>
    <w:rsid w:val="0094547A"/>
    <w:rsid w:val="00957097"/>
    <w:rsid w:val="009967F9"/>
    <w:rsid w:val="009C7996"/>
    <w:rsid w:val="009C79D8"/>
    <w:rsid w:val="009E16B2"/>
    <w:rsid w:val="00A052E1"/>
    <w:rsid w:val="00A24F12"/>
    <w:rsid w:val="00A61E5C"/>
    <w:rsid w:val="00A65935"/>
    <w:rsid w:val="00A70B46"/>
    <w:rsid w:val="00A9566B"/>
    <w:rsid w:val="00AB5D73"/>
    <w:rsid w:val="00B3510F"/>
    <w:rsid w:val="00B37131"/>
    <w:rsid w:val="00B50A3A"/>
    <w:rsid w:val="00B5185A"/>
    <w:rsid w:val="00B55A14"/>
    <w:rsid w:val="00B766D0"/>
    <w:rsid w:val="00B820AA"/>
    <w:rsid w:val="00BA456F"/>
    <w:rsid w:val="00BA4A63"/>
    <w:rsid w:val="00BD190F"/>
    <w:rsid w:val="00BF04A9"/>
    <w:rsid w:val="00C03201"/>
    <w:rsid w:val="00C36BA4"/>
    <w:rsid w:val="00C37C22"/>
    <w:rsid w:val="00C45A48"/>
    <w:rsid w:val="00C72BD4"/>
    <w:rsid w:val="00CD0FA1"/>
    <w:rsid w:val="00CD42BF"/>
    <w:rsid w:val="00CD4735"/>
    <w:rsid w:val="00CD58ED"/>
    <w:rsid w:val="00D200D7"/>
    <w:rsid w:val="00D32407"/>
    <w:rsid w:val="00D32F3E"/>
    <w:rsid w:val="00D40688"/>
    <w:rsid w:val="00D46176"/>
    <w:rsid w:val="00D53839"/>
    <w:rsid w:val="00D83ED9"/>
    <w:rsid w:val="00D85A5F"/>
    <w:rsid w:val="00DC6A8E"/>
    <w:rsid w:val="00DE01FF"/>
    <w:rsid w:val="00DE5CB1"/>
    <w:rsid w:val="00E0449C"/>
    <w:rsid w:val="00E131AE"/>
    <w:rsid w:val="00E25D4B"/>
    <w:rsid w:val="00E32771"/>
    <w:rsid w:val="00E903FC"/>
    <w:rsid w:val="00EB6A67"/>
    <w:rsid w:val="00ED3D88"/>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B259D6-0214-4E2A-B0A4-AF8DEBAC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unhideWhenUsed/>
    <w:rsid w:val="00D83E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azellia.com/tasawouf/chosentpc/Shateh.ht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ganjoor.net/shabestari/golshaneraz/sh59/"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islamicdoc.org/Multimedia/fbook/1281/index.htm" TargetMode="External"/><Relationship Id="rId4" Type="http://schemas.openxmlformats.org/officeDocument/2006/relationships/webSettings" Target="webSettings.xml"/><Relationship Id="rId9" Type="http://schemas.openxmlformats.org/officeDocument/2006/relationships/hyperlink" Target="http://www.mullasadra.org/new_site/persian/Paper%20Bank/hekmat%20motaliyeh/A.shirvani.htm" TargetMode="Externa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3F331-FBA7-447A-8D2E-910FACBC2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20</Pages>
  <Words>3997</Words>
  <Characters>20109</Characters>
  <Application>Microsoft Office Word</Application>
  <DocSecurity>0</DocSecurity>
  <Lines>543</Lines>
  <Paragraphs>229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23877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Назарияи «Ваҳдатул-вуҷуд»-и Ибни Арабӣ ва ирфону фалсафа</dc:title>
  <dc:subject>Назарияи «Ваҳдатул-вуҷуд»-и Ибни Арабӣ ва ирфону фалсафа</dc:subject>
  <dc:creator>Муҳаммадазиз Раҷабӣ</dc:creator>
  <cp:keywords>Назарияи «Ваҳдатул-вуҷуд»-и Ибни Арабӣ ва ирфону фалсафа</cp:keywords>
  <dc:description>Назарияи «Ваҳдатул-вуҷуд»-и Ибни Арабӣ ва ирфону фалсафа</dc:description>
  <cp:lastModifiedBy>elhashemy</cp:lastModifiedBy>
  <cp:revision>88</cp:revision>
  <cp:lastPrinted>2015-03-07T18:49:00Z</cp:lastPrinted>
  <dcterms:created xsi:type="dcterms:W3CDTF">2014-12-21T22:21:00Z</dcterms:created>
  <dcterms:modified xsi:type="dcterms:W3CDTF">2015-11-28T12:14:00Z</dcterms:modified>
  <cp:category/>
</cp:coreProperties>
</file>