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81462F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1462F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坏斋事项的准则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521185" w:rsidRDefault="0081462F" w:rsidP="0081462F">
      <w:pPr>
        <w:spacing w:after="54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</w:pPr>
      <w:r w:rsidRPr="0081462F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الضابط</w:t>
      </w:r>
      <w:r w:rsidR="00521185">
        <w:rPr>
          <w:rFonts w:ascii="Helvetica" w:eastAsia="SimSun" w:hAnsi="Helvetica" w:cs="Times New Roman" w:hint="cs"/>
          <w:b/>
          <w:bCs/>
          <w:color w:val="385623" w:themeColor="accent6" w:themeShade="80"/>
          <w:sz w:val="52"/>
          <w:szCs w:val="52"/>
          <w:rtl/>
        </w:rPr>
        <w:t xml:space="preserve"> </w:t>
      </w:r>
      <w:r w:rsidRPr="0081462F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 xml:space="preserve"> في </w:t>
      </w:r>
    </w:p>
    <w:p w:rsidR="0081462F" w:rsidRPr="0081462F" w:rsidRDefault="0081462F" w:rsidP="0081462F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81462F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المفطرات التي تفطّر الصائم</w:t>
      </w:r>
    </w:p>
    <w:p w:rsidR="000C7B4F" w:rsidRDefault="000C7B4F" w:rsidP="0081462F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521185" w:rsidRDefault="00521185" w:rsidP="00521185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521185" w:rsidRPr="003B029D" w:rsidRDefault="00521185" w:rsidP="00521185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</w:p>
    <w:p w:rsidR="00521185" w:rsidRDefault="00521185" w:rsidP="00521185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</w:p>
    <w:p w:rsidR="00521185" w:rsidRPr="008923E4" w:rsidRDefault="00521185" w:rsidP="00521185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521185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rtl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</w:p>
    <w:p w:rsidR="00226092" w:rsidRPr="00CD0FA1" w:rsidRDefault="009003B8" w:rsidP="00521185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521185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521185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521185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521185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521185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81462F" w:rsidRDefault="00521185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03E679F" wp14:editId="551A3825">
            <wp:simplePos x="0" y="0"/>
            <wp:positionH relativeFrom="margin">
              <wp:posOffset>1216025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62F" w:rsidRPr="0081462F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坏斋事项的准则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Pr="0081462F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b/>
          <w:bCs/>
          <w:color w:val="5EA1A5"/>
          <w:sz w:val="32"/>
          <w:szCs w:val="32"/>
          <w:lang w:eastAsia="zh-CN" w:bidi="ar-EG"/>
        </w:rPr>
      </w:pPr>
    </w:p>
    <w:p w:rsidR="0081462F" w:rsidRPr="0081462F" w:rsidRDefault="0081462F" w:rsidP="00521185">
      <w:pPr>
        <w:shd w:val="clear" w:color="auto" w:fill="FFFFFF"/>
        <w:bidi w:val="0"/>
        <w:spacing w:line="480" w:lineRule="auto"/>
        <w:ind w:left="602" w:hangingChars="200" w:hanging="602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81462F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一个人在封斋的情况下磨面粉，面粉中的飞尘进入了他的喉咙，其教法律例是什么？</w:t>
      </w:r>
      <w:bookmarkStart w:id="0" w:name="_GoBack"/>
      <w:bookmarkEnd w:id="0"/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这对他的斋戒没有影响，他的斋戒是正确有效的，因为这些纷纷扬扬的粉尘不是他们自己选择的，也不是故意让它进入体内的。借此机会，我想阐明坏斋的事项就是发生性行为和吃喝，其它的东西不会坏斋，除非符合以下三个条件：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第一个条件：知晓教法律例。如果不了解教法律例，则不坏斋，因为真主说：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你们所误犯的事，对于你们没有罪过，你们所故犯的事，就不然了。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（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33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5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）真主说：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我们的主啊！求你不要惩罚我们，如果我们遗忘或错误。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（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2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286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）在圣训中传述：真主说：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我已经做了。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就是我已经宽恕你们了。先知（愿主福安之）说：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我的民族因为误犯、遗忘和被迫所做的罪恶都不受责问。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无知的人就是误犯罪恶的人，哪怕他清楚自己的所作所为。如果因为无知而触犯了坏斋的事项，他没有任何罪责，他的斋戒是正确有效的，无论是不知道教法律例或者是时间都一样。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lastRenderedPageBreak/>
        <w:t>譬如不知道教法律例：食用了开斋的东西而以为它不会坏斋，又如采用了放血治疗而以为这是不会坏斋的，我们就说他的斋戒是正确的，他也没有任何罪责。凡是不由自主的发生的一切事情都是不会坏斋的。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总而言之，所有坏斋的事项只有符合以下三个条件才会坏斋：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第一个条件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 xml:space="preserve">: 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知晓教法律例；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第二个条件：记得教法律例；</w:t>
      </w:r>
    </w:p>
    <w:p w:rsidR="0081462F" w:rsidRPr="0081462F" w:rsidRDefault="0081462F" w:rsidP="00521185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第三个条件：自愿选择所做之事。</w:t>
      </w:r>
    </w:p>
    <w:p w:rsidR="0081462F" w:rsidRPr="0081462F" w:rsidRDefault="0081462F" w:rsidP="00521185">
      <w:pPr>
        <w:bidi w:val="0"/>
        <w:spacing w:line="215" w:lineRule="atLeast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81462F">
        <w:rPr>
          <w:rFonts w:ascii="Tahoma" w:eastAsia="SimSun" w:hAnsi="Tahoma" w:cs="Tahoma"/>
          <w:sz w:val="30"/>
          <w:szCs w:val="30"/>
          <w:lang w:eastAsia="zh-CN"/>
        </w:rPr>
        <w:t>《谢赫伊本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欧赛麦尼法特瓦》第一册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508</w:t>
      </w:r>
      <w:r w:rsidRPr="0081462F">
        <w:rPr>
          <w:rFonts w:ascii="Tahoma" w:eastAsia="SimSun" w:hAnsi="Tahoma" w:cs="Tahoma"/>
          <w:sz w:val="30"/>
          <w:szCs w:val="30"/>
          <w:lang w:eastAsia="zh-CN"/>
        </w:rPr>
        <w:t>页</w:t>
      </w:r>
    </w:p>
    <w:p w:rsidR="003764D3" w:rsidRPr="0081462F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21185">
          <w:headerReference w:type="default" r:id="rId8"/>
          <w:headerReference w:type="first" r:id="rId9"/>
          <w:pgSz w:w="11907" w:h="16840" w:code="9"/>
          <w:pgMar w:top="1560" w:right="1418" w:bottom="567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8A" w:rsidRDefault="007E5D8A" w:rsidP="00E32771">
      <w:pPr>
        <w:spacing w:after="0" w:line="240" w:lineRule="auto"/>
      </w:pPr>
      <w:r>
        <w:separator/>
      </w:r>
    </w:p>
  </w:endnote>
  <w:endnote w:type="continuationSeparator" w:id="0">
    <w:p w:rsidR="007E5D8A" w:rsidRDefault="007E5D8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AA6DFC6-ABD2-4572-B418-434B8A1B1EB3}"/>
    <w:embedBold r:id="rId2" w:subsetted="1" w:fontKey="{6D616F63-1F42-4B5A-A0F2-0F70AAC18BB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39773A5C-8FA7-4B2F-9173-E07DEFAA5CE8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0C9ECB8B-1BE4-47A5-91E4-1CBAF194F26C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35C43E19-5F78-4A75-A831-804C4D41F7C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B77DA293-9B95-46E0-81DC-04089C6D00E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CF979FC-4B81-4AB8-8B46-FED35E75FF5E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8A" w:rsidRDefault="007E5D8A" w:rsidP="00E32771">
      <w:pPr>
        <w:spacing w:after="0" w:line="240" w:lineRule="auto"/>
      </w:pPr>
      <w:r>
        <w:separator/>
      </w:r>
    </w:p>
  </w:footnote>
  <w:footnote w:type="continuationSeparator" w:id="0">
    <w:p w:rsidR="007E5D8A" w:rsidRDefault="007E5D8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7E5D8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9B134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9B134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D177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9B134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7E5D8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7E5D8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2D4E55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D1772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21185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1032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5D8A"/>
    <w:rsid w:val="007E70EB"/>
    <w:rsid w:val="007F2650"/>
    <w:rsid w:val="00814452"/>
    <w:rsid w:val="0081462F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B134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901CF9F0-9C5E-447E-AE64-AF32248E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37C6-7898-41A7-8B9B-342167F1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431</Characters>
  <Application>Microsoft Office Word</Application>
  <DocSecurity>0</DocSecurity>
  <Lines>35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787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坏斋事项的准则</dc:title>
  <dc:subject>坏斋事项的准则</dc:subject>
  <dc:creator>ibndawod</dc:creator>
  <cp:keywords>坏斋事项的准则</cp:keywords>
  <dc:description>坏斋事项的准则</dc:description>
  <cp:lastModifiedBy>elhashemy</cp:lastModifiedBy>
  <cp:revision>3</cp:revision>
  <cp:lastPrinted>2015-03-07T18:49:00Z</cp:lastPrinted>
  <dcterms:created xsi:type="dcterms:W3CDTF">2015-10-02T11:12:00Z</dcterms:created>
  <dcterms:modified xsi:type="dcterms:W3CDTF">2015-10-10T11:24:00Z</dcterms:modified>
  <cp:category/>
</cp:coreProperties>
</file>