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9B08A6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封斋的一部分圣行</w:t>
      </w:r>
      <w:proofErr w:type="spellEnd"/>
    </w:p>
    <w:p w:rsidR="000B441A" w:rsidRDefault="000B441A">
      <w:pPr>
        <w:spacing w:line="240" w:lineRule="auto"/>
        <w:jc w:val="center"/>
      </w:pPr>
    </w:p>
    <w:p w:rsidR="000B441A" w:rsidRDefault="009B08A6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بعض سنن الصوم</w:t>
      </w:r>
    </w:p>
    <w:p w:rsidR="000B441A" w:rsidRDefault="000B441A">
      <w:pPr>
        <w:spacing w:after="60"/>
      </w:pPr>
    </w:p>
    <w:p w:rsidR="000B441A" w:rsidRDefault="009B08A6">
      <w:pPr>
        <w:jc w:val="center"/>
      </w:pPr>
      <w:r>
        <w:rPr>
          <w:b/>
          <w:sz w:val="30"/>
          <w:szCs w:val="30"/>
        </w:rPr>
        <w:t>[</w:t>
      </w:r>
      <w:r>
        <w:rPr>
          <w:rFonts w:ascii="Tahoma" w:eastAsia="Tahoma" w:hAnsi="Tahoma" w:cs="Tahoma"/>
          <w:b/>
          <w:sz w:val="30"/>
          <w:szCs w:val="30"/>
          <w:rtl/>
        </w:rPr>
        <w:t>باللغة</w:t>
      </w:r>
      <w:r>
        <w:rPr>
          <w:b/>
          <w:sz w:val="30"/>
          <w:szCs w:val="30"/>
          <w:rtl/>
        </w:rPr>
        <w:t xml:space="preserve"> </w:t>
      </w:r>
      <w:proofErr w:type="gramStart"/>
      <w:r>
        <w:rPr>
          <w:rFonts w:ascii="Tahoma" w:eastAsia="Tahoma" w:hAnsi="Tahoma" w:cs="Tahoma"/>
          <w:b/>
          <w:sz w:val="30"/>
          <w:szCs w:val="30"/>
          <w:rtl/>
        </w:rPr>
        <w:t>الصينية</w:t>
      </w:r>
      <w:r>
        <w:rPr>
          <w:b/>
          <w:sz w:val="30"/>
          <w:szCs w:val="30"/>
        </w:rPr>
        <w:t xml:space="preserve"> ]</w:t>
      </w:r>
      <w:proofErr w:type="gramEnd"/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441A" w:rsidRDefault="000B441A">
      <w:pPr>
        <w:jc w:val="center"/>
      </w:pPr>
    </w:p>
    <w:p w:rsidR="000B441A" w:rsidRDefault="000B441A">
      <w:pPr>
        <w:spacing w:after="0" w:line="240" w:lineRule="auto"/>
        <w:ind w:firstLine="113"/>
        <w:jc w:val="center"/>
      </w:pPr>
    </w:p>
    <w:p w:rsidR="000B441A" w:rsidRDefault="009B08A6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0B441A" w:rsidRDefault="000B441A">
      <w:pPr>
        <w:jc w:val="center"/>
      </w:pPr>
    </w:p>
    <w:p w:rsidR="000B441A" w:rsidRDefault="009B08A6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9B08A6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9B08A6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0B441A" w:rsidRDefault="009B08A6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0B441A" w:rsidRDefault="000B441A">
      <w:pPr>
        <w:jc w:val="center"/>
      </w:pPr>
    </w:p>
    <w:p w:rsidR="000B441A" w:rsidRDefault="000B441A">
      <w:pPr>
        <w:tabs>
          <w:tab w:val="left" w:pos="2461"/>
        </w:tabs>
        <w:jc w:val="center"/>
      </w:pPr>
    </w:p>
    <w:p w:rsidR="00740659" w:rsidRDefault="00740659">
      <w:pPr>
        <w:tabs>
          <w:tab w:val="left" w:pos="2461"/>
        </w:tabs>
        <w:jc w:val="center"/>
      </w:pPr>
    </w:p>
    <w:p w:rsidR="00740659" w:rsidRDefault="00740659">
      <w:pPr>
        <w:tabs>
          <w:tab w:val="left" w:pos="2461"/>
        </w:tabs>
        <w:jc w:val="center"/>
      </w:pPr>
    </w:p>
    <w:p w:rsidR="00740659" w:rsidRDefault="00740659">
      <w:pPr>
        <w:tabs>
          <w:tab w:val="left" w:pos="2461"/>
        </w:tabs>
        <w:jc w:val="center"/>
      </w:pPr>
    </w:p>
    <w:p w:rsidR="00740659" w:rsidRDefault="00740659">
      <w:pPr>
        <w:tabs>
          <w:tab w:val="left" w:pos="2461"/>
        </w:tabs>
        <w:jc w:val="center"/>
      </w:pPr>
    </w:p>
    <w:p w:rsidR="00740659" w:rsidRDefault="00740659">
      <w:pPr>
        <w:tabs>
          <w:tab w:val="left" w:pos="2461"/>
        </w:tabs>
        <w:jc w:val="center"/>
      </w:pPr>
    </w:p>
    <w:p w:rsidR="000B441A" w:rsidRDefault="009B08A6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封斋的一部分圣行</w:t>
      </w:r>
      <w:proofErr w:type="spellEnd"/>
    </w:p>
    <w:p w:rsidR="000B441A" w:rsidRDefault="009B08A6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441A" w:rsidRDefault="000B441A">
      <w:pPr>
        <w:tabs>
          <w:tab w:val="left" w:pos="753"/>
          <w:tab w:val="left" w:pos="3933"/>
          <w:tab w:val="center" w:pos="3968"/>
        </w:tabs>
      </w:pPr>
    </w:p>
    <w:p w:rsidR="000B441A" w:rsidRDefault="009B08A6">
      <w:pPr>
        <w:spacing w:after="0" w:line="480" w:lineRule="auto"/>
        <w:jc w:val="both"/>
      </w:pPr>
      <w:proofErr w:type="spellStart"/>
      <w:r>
        <w:rPr>
          <w:rFonts w:ascii="SimSun" w:eastAsia="SimSun" w:hAnsi="SimSun" w:cs="SimSun"/>
          <w:b/>
          <w:color w:val="FF0000"/>
          <w:sz w:val="32"/>
          <w:szCs w:val="32"/>
        </w:rPr>
        <w:t>问：封斋的一部分圣行是什么</w:t>
      </w:r>
      <w:proofErr w:type="spellEnd"/>
      <w:r>
        <w:rPr>
          <w:rFonts w:ascii="SimSun" w:eastAsia="SimSun" w:hAnsi="SimSun" w:cs="SimSun"/>
          <w:b/>
          <w:color w:val="FF0000"/>
          <w:sz w:val="32"/>
          <w:szCs w:val="32"/>
        </w:rPr>
        <w:t>？</w:t>
      </w:r>
    </w:p>
    <w:p w:rsidR="000B441A" w:rsidRDefault="009B08A6">
      <w:pPr>
        <w:spacing w:after="164" w:line="480" w:lineRule="auto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答：一切赞颂，全归真主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0B441A" w:rsidRDefault="009B08A6">
      <w:pPr>
        <w:spacing w:after="164" w:line="480" w:lineRule="auto"/>
        <w:ind w:firstLine="640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封斋的圣行很多，比如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</w:p>
    <w:p w:rsidR="000B441A" w:rsidRDefault="009B08A6">
      <w:pPr>
        <w:spacing w:after="164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第一：如果有人同封斋者打架滋事或辱骂他，则他以德报怨，向对方说：</w:t>
      </w:r>
      <w:r>
        <w:rPr>
          <w:rFonts w:ascii="SimSun" w:eastAsia="SimSun" w:hAnsi="SimSun" w:cs="SimSun"/>
          <w:sz w:val="32"/>
          <w:szCs w:val="32"/>
        </w:rPr>
        <w:t>‘</w:t>
      </w:r>
      <w:r>
        <w:rPr>
          <w:rFonts w:ascii="SimSun" w:eastAsia="SimSun" w:hAnsi="SimSun" w:cs="SimSun"/>
          <w:sz w:val="32"/>
          <w:szCs w:val="32"/>
        </w:rPr>
        <w:t>我是封斋的人</w:t>
      </w:r>
      <w:r>
        <w:rPr>
          <w:rFonts w:ascii="SimSun" w:eastAsia="SimSun" w:hAnsi="SimSun" w:cs="SimSun"/>
          <w:sz w:val="32"/>
          <w:szCs w:val="32"/>
        </w:rPr>
        <w:t>’</w:t>
      </w:r>
      <w:r>
        <w:rPr>
          <w:rFonts w:ascii="SimSun" w:eastAsia="SimSun" w:hAnsi="SimSun" w:cs="SimSun"/>
          <w:sz w:val="32"/>
          <w:szCs w:val="32"/>
        </w:rPr>
        <w:t>，这是圣行；因为布哈里和穆斯林共同辑录：艾布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胡莱赖（愿主喜悦之）传述：真主的使者（愿主福安之）说：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斋戒是盾牌。封斋者不要讲丑话，也不要作丑事；如果有人同他打架滋事或辱骂他，则他应向对方说两次：</w:t>
      </w:r>
      <w:r>
        <w:rPr>
          <w:rFonts w:ascii="SimSun" w:eastAsia="SimSun" w:hAnsi="SimSun" w:cs="SimSun"/>
          <w:sz w:val="32"/>
          <w:szCs w:val="32"/>
        </w:rPr>
        <w:t>‘</w:t>
      </w:r>
      <w:r>
        <w:rPr>
          <w:rFonts w:ascii="SimSun" w:eastAsia="SimSun" w:hAnsi="SimSun" w:cs="SimSun"/>
          <w:sz w:val="32"/>
          <w:szCs w:val="32"/>
        </w:rPr>
        <w:t>我是封斋的人。</w:t>
      </w:r>
      <w:r>
        <w:rPr>
          <w:rFonts w:ascii="SimSun" w:eastAsia="SimSun" w:hAnsi="SimSun" w:cs="SimSun"/>
          <w:sz w:val="32"/>
          <w:szCs w:val="32"/>
        </w:rPr>
        <w:t>’</w:t>
      </w:r>
      <w:r>
        <w:rPr>
          <w:rFonts w:ascii="SimSun" w:eastAsia="SimSun" w:hAnsi="SimSun" w:cs="SimSun"/>
          <w:sz w:val="32"/>
          <w:szCs w:val="32"/>
        </w:rPr>
        <w:t>以真主起誓，封斋者口中之气，在真主看来优于麝香。真主说：</w:t>
      </w:r>
      <w:r>
        <w:rPr>
          <w:rFonts w:ascii="SimSun" w:eastAsia="SimSun" w:hAnsi="SimSun" w:cs="SimSun"/>
          <w:sz w:val="32"/>
          <w:szCs w:val="32"/>
        </w:rPr>
        <w:t>‘</w:t>
      </w:r>
      <w:r>
        <w:rPr>
          <w:rFonts w:ascii="SimSun" w:eastAsia="SimSun" w:hAnsi="SimSun" w:cs="SimSun"/>
          <w:sz w:val="32"/>
          <w:szCs w:val="32"/>
        </w:rPr>
        <w:t>封斋者为我抛弃了饮食和性欲，斋戒是归我所有的，我将亲自予以奖赏。一件善行，十倍回偿。</w:t>
      </w:r>
      <w:r>
        <w:rPr>
          <w:rFonts w:ascii="SimSun" w:eastAsia="SimSun" w:hAnsi="SimSun" w:cs="SimSun"/>
          <w:sz w:val="32"/>
          <w:szCs w:val="32"/>
        </w:rPr>
        <w:t>’”</w:t>
      </w:r>
      <w:r>
        <w:rPr>
          <w:rFonts w:ascii="SimSun" w:eastAsia="SimSun" w:hAnsi="SimSun" w:cs="SimSun"/>
          <w:sz w:val="32"/>
          <w:szCs w:val="32"/>
        </w:rPr>
        <w:t>《布哈里圣训实录》（</w:t>
      </w:r>
      <w:r>
        <w:rPr>
          <w:rFonts w:ascii="SimSun" w:eastAsia="SimSun" w:hAnsi="SimSun" w:cs="SimSun"/>
          <w:sz w:val="32"/>
          <w:szCs w:val="32"/>
        </w:rPr>
        <w:t>1849</w:t>
      </w:r>
      <w:r>
        <w:rPr>
          <w:rFonts w:ascii="SimSun" w:eastAsia="SimSun" w:hAnsi="SimSun" w:cs="SimSun"/>
          <w:sz w:val="32"/>
          <w:szCs w:val="32"/>
        </w:rPr>
        <w:t>段）和《穆斯林圣训实录》（</w:t>
      </w:r>
      <w:r>
        <w:rPr>
          <w:rFonts w:ascii="SimSun" w:eastAsia="SimSun" w:hAnsi="SimSun" w:cs="SimSun"/>
          <w:sz w:val="32"/>
          <w:szCs w:val="32"/>
        </w:rPr>
        <w:t>1151</w:t>
      </w:r>
      <w:r>
        <w:rPr>
          <w:rFonts w:ascii="SimSun" w:eastAsia="SimSun" w:hAnsi="SimSun" w:cs="SimSun"/>
          <w:sz w:val="32"/>
          <w:szCs w:val="32"/>
        </w:rPr>
        <w:t>段）辑录。</w:t>
      </w:r>
    </w:p>
    <w:p w:rsidR="000B441A" w:rsidRDefault="009B08A6">
      <w:pPr>
        <w:spacing w:after="164" w:line="480" w:lineRule="auto"/>
        <w:ind w:firstLine="640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lastRenderedPageBreak/>
        <w:t>第二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  <w:r>
        <w:rPr>
          <w:rFonts w:ascii="SimSun" w:eastAsia="SimSun" w:hAnsi="SimSun" w:cs="SimSun"/>
          <w:sz w:val="32"/>
          <w:szCs w:val="32"/>
        </w:rPr>
        <w:t xml:space="preserve"> </w:t>
      </w:r>
      <w:r>
        <w:rPr>
          <w:rFonts w:ascii="SimSun" w:eastAsia="SimSun" w:hAnsi="SimSun" w:cs="SimSun"/>
          <w:sz w:val="32"/>
          <w:szCs w:val="32"/>
        </w:rPr>
        <w:t>封斋者吃封斋饭是圣行，因为布哈里和穆斯林共同辑录：艾奈斯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本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马力克（愿主喜悦之）传述：先知（愿主福安之）说：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你们吃封斋饭吧，因为封斋饭中有很多的吉祥。</w:t>
      </w:r>
      <w:r>
        <w:rPr>
          <w:rFonts w:ascii="SimSun" w:eastAsia="SimSun" w:hAnsi="SimSun" w:cs="SimSun"/>
          <w:sz w:val="32"/>
          <w:szCs w:val="32"/>
        </w:rPr>
        <w:t xml:space="preserve">” </w:t>
      </w:r>
      <w:r>
        <w:rPr>
          <w:rFonts w:ascii="SimSun" w:eastAsia="SimSun" w:hAnsi="SimSun" w:cs="SimSun"/>
          <w:sz w:val="32"/>
          <w:szCs w:val="32"/>
        </w:rPr>
        <w:t>《</w:t>
      </w:r>
      <w:proofErr w:type="spellStart"/>
      <w:r>
        <w:rPr>
          <w:rFonts w:ascii="SimSun" w:eastAsia="SimSun" w:hAnsi="SimSun" w:cs="SimSun"/>
          <w:sz w:val="32"/>
          <w:szCs w:val="32"/>
        </w:rPr>
        <w:t>布哈里圣训实录</w:t>
      </w:r>
      <w:proofErr w:type="spellEnd"/>
      <w:r>
        <w:rPr>
          <w:rFonts w:ascii="SimSun" w:eastAsia="SimSun" w:hAnsi="SimSun" w:cs="SimSun"/>
          <w:sz w:val="32"/>
          <w:szCs w:val="32"/>
        </w:rPr>
        <w:t>》（</w:t>
      </w:r>
      <w:r>
        <w:rPr>
          <w:rFonts w:ascii="SimSun" w:eastAsia="SimSun" w:hAnsi="SimSun" w:cs="SimSun"/>
          <w:sz w:val="32"/>
          <w:szCs w:val="32"/>
        </w:rPr>
        <w:t>1923</w:t>
      </w:r>
      <w:r>
        <w:rPr>
          <w:rFonts w:ascii="SimSun" w:eastAsia="SimSun" w:hAnsi="SimSun" w:cs="SimSun"/>
          <w:sz w:val="32"/>
          <w:szCs w:val="32"/>
        </w:rPr>
        <w:t>段）和《穆斯林圣训实录》（</w:t>
      </w:r>
      <w:r>
        <w:rPr>
          <w:rFonts w:ascii="SimSun" w:eastAsia="SimSun" w:hAnsi="SimSun" w:cs="SimSun"/>
          <w:sz w:val="32"/>
          <w:szCs w:val="32"/>
        </w:rPr>
        <w:t>1095</w:t>
      </w:r>
      <w:r>
        <w:rPr>
          <w:rFonts w:ascii="SimSun" w:eastAsia="SimSun" w:hAnsi="SimSun" w:cs="SimSun"/>
          <w:sz w:val="32"/>
          <w:szCs w:val="32"/>
        </w:rPr>
        <w:t>段）辑录。</w:t>
      </w:r>
    </w:p>
    <w:p w:rsidR="000B441A" w:rsidRDefault="009B08A6">
      <w:pPr>
        <w:spacing w:after="164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第三：推迟封斋饭是圣行，因为布哈里辑录：艾奈斯通过宰德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本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萨比特（愿主喜悦他们）传述：我们和先知（愿主福安之）一块儿吃了封斋饭，而后使者就去礼拜。艾奈斯问宰德：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在宣礼和吃封斋饭之间有多长的时间？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宰德说：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大约是念</w:t>
      </w:r>
      <w:r>
        <w:rPr>
          <w:rFonts w:ascii="SimSun" w:eastAsia="SimSun" w:hAnsi="SimSun" w:cs="SimSun"/>
          <w:sz w:val="32"/>
          <w:szCs w:val="32"/>
        </w:rPr>
        <w:t>50</w:t>
      </w:r>
      <w:r>
        <w:rPr>
          <w:rFonts w:ascii="SimSun" w:eastAsia="SimSun" w:hAnsi="SimSun" w:cs="SimSun"/>
          <w:sz w:val="32"/>
          <w:szCs w:val="32"/>
        </w:rPr>
        <w:t>段经文的时间。</w:t>
      </w:r>
      <w:r>
        <w:rPr>
          <w:rFonts w:ascii="SimSun" w:eastAsia="SimSun" w:hAnsi="SimSun" w:cs="SimSun"/>
          <w:sz w:val="32"/>
          <w:szCs w:val="32"/>
        </w:rPr>
        <w:t xml:space="preserve">” </w:t>
      </w:r>
      <w:r>
        <w:rPr>
          <w:rFonts w:ascii="SimSun" w:eastAsia="SimSun" w:hAnsi="SimSun" w:cs="SimSun"/>
          <w:sz w:val="32"/>
          <w:szCs w:val="32"/>
        </w:rPr>
        <w:t>《</w:t>
      </w:r>
      <w:proofErr w:type="spellStart"/>
      <w:r>
        <w:rPr>
          <w:rFonts w:ascii="SimSun" w:eastAsia="SimSun" w:hAnsi="SimSun" w:cs="SimSun"/>
          <w:sz w:val="32"/>
          <w:szCs w:val="32"/>
        </w:rPr>
        <w:t>布哈里圣训实录</w:t>
      </w:r>
      <w:proofErr w:type="spellEnd"/>
      <w:r>
        <w:rPr>
          <w:rFonts w:ascii="SimSun" w:eastAsia="SimSun" w:hAnsi="SimSun" w:cs="SimSun"/>
          <w:sz w:val="32"/>
          <w:szCs w:val="32"/>
        </w:rPr>
        <w:t>》（</w:t>
      </w:r>
      <w:r>
        <w:rPr>
          <w:rFonts w:ascii="SimSun" w:eastAsia="SimSun" w:hAnsi="SimSun" w:cs="SimSun"/>
          <w:sz w:val="32"/>
          <w:szCs w:val="32"/>
        </w:rPr>
        <w:t>1921</w:t>
      </w:r>
      <w:r>
        <w:rPr>
          <w:rFonts w:ascii="SimSun" w:eastAsia="SimSun" w:hAnsi="SimSun" w:cs="SimSun"/>
          <w:sz w:val="32"/>
          <w:szCs w:val="32"/>
        </w:rPr>
        <w:t>段</w:t>
      </w:r>
      <w:r>
        <w:rPr>
          <w:rFonts w:ascii="SimSun" w:eastAsia="SimSun" w:hAnsi="SimSun" w:cs="SimSun"/>
          <w:sz w:val="32"/>
          <w:szCs w:val="32"/>
        </w:rPr>
        <w:t>）辑录。</w:t>
      </w:r>
    </w:p>
    <w:p w:rsidR="000B441A" w:rsidRDefault="009B08A6">
      <w:pPr>
        <w:spacing w:after="164" w:line="480" w:lineRule="auto"/>
        <w:ind w:firstLine="640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第四：及时开斋也是圣行；因为赛海里（愿主喜悦之）传述：真主的使者（愿主福安之）说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  <w:r>
        <w:rPr>
          <w:rFonts w:ascii="SimSun" w:eastAsia="SimSun" w:hAnsi="SimSun" w:cs="SimSun"/>
          <w:sz w:val="32"/>
          <w:szCs w:val="32"/>
        </w:rPr>
        <w:t>“</w:t>
      </w:r>
      <w:proofErr w:type="spellStart"/>
      <w:r>
        <w:rPr>
          <w:rFonts w:ascii="SimSun" w:eastAsia="SimSun" w:hAnsi="SimSun" w:cs="SimSun"/>
          <w:sz w:val="32"/>
          <w:szCs w:val="32"/>
        </w:rPr>
        <w:t>只要人们及时开斋，他们就是坚持圣行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  <w:r>
        <w:rPr>
          <w:rFonts w:ascii="SimSun" w:eastAsia="SimSun" w:hAnsi="SimSun" w:cs="SimSun"/>
          <w:sz w:val="32"/>
          <w:szCs w:val="32"/>
        </w:rPr>
        <w:t xml:space="preserve">” </w:t>
      </w:r>
      <w:r>
        <w:rPr>
          <w:rFonts w:ascii="SimSun" w:eastAsia="SimSun" w:hAnsi="SimSun" w:cs="SimSun"/>
          <w:sz w:val="32"/>
          <w:szCs w:val="32"/>
        </w:rPr>
        <w:t>《</w:t>
      </w:r>
      <w:proofErr w:type="spellStart"/>
      <w:r>
        <w:rPr>
          <w:rFonts w:ascii="SimSun" w:eastAsia="SimSun" w:hAnsi="SimSun" w:cs="SimSun"/>
          <w:sz w:val="32"/>
          <w:szCs w:val="32"/>
        </w:rPr>
        <w:t>布哈里圣训实录</w:t>
      </w:r>
      <w:proofErr w:type="spellEnd"/>
      <w:r>
        <w:rPr>
          <w:rFonts w:ascii="SimSun" w:eastAsia="SimSun" w:hAnsi="SimSun" w:cs="SimSun"/>
          <w:sz w:val="32"/>
          <w:szCs w:val="32"/>
        </w:rPr>
        <w:t>》（</w:t>
      </w:r>
      <w:r>
        <w:rPr>
          <w:rFonts w:ascii="SimSun" w:eastAsia="SimSun" w:hAnsi="SimSun" w:cs="SimSun"/>
          <w:sz w:val="32"/>
          <w:szCs w:val="32"/>
        </w:rPr>
        <w:t>1957</w:t>
      </w:r>
      <w:r>
        <w:rPr>
          <w:rFonts w:ascii="SimSun" w:eastAsia="SimSun" w:hAnsi="SimSun" w:cs="SimSun"/>
          <w:sz w:val="32"/>
          <w:szCs w:val="32"/>
        </w:rPr>
        <w:t>段）和《穆斯林圣训实录》（</w:t>
      </w:r>
      <w:r>
        <w:rPr>
          <w:rFonts w:ascii="SimSun" w:eastAsia="SimSun" w:hAnsi="SimSun" w:cs="SimSun"/>
          <w:sz w:val="32"/>
          <w:szCs w:val="32"/>
        </w:rPr>
        <w:t>1098</w:t>
      </w:r>
      <w:r>
        <w:rPr>
          <w:rFonts w:ascii="SimSun" w:eastAsia="SimSun" w:hAnsi="SimSun" w:cs="SimSun"/>
          <w:sz w:val="32"/>
          <w:szCs w:val="32"/>
        </w:rPr>
        <w:t>段）辑录。敬请参阅（</w:t>
      </w:r>
      <w:hyperlink r:id="rId7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49716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）号问题的回答。</w:t>
      </w:r>
    </w:p>
    <w:p w:rsidR="000B441A" w:rsidRDefault="009B08A6">
      <w:pPr>
        <w:spacing w:after="164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lastRenderedPageBreak/>
        <w:t>第五：用鲜嫩的椰枣开斋是圣行；如果没有鲜嫩的椰枣，可以用干椰枣开斋；如果没有干椰枣，就用水开斋，艾奈斯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本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马力克（愿主喜悦之）传述：先知（愿主福安之）在做礼拜之前，首先用鲜嫩的椰枣开斋；如果没有鲜嫩的椰枣，就吃几个干椰枣；如果没有干椰枣，就喝几口水。《艾布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达伍德圣训实录》（</w:t>
      </w:r>
      <w:r>
        <w:rPr>
          <w:rFonts w:ascii="SimSun" w:eastAsia="SimSun" w:hAnsi="SimSun" w:cs="SimSun"/>
          <w:sz w:val="32"/>
          <w:szCs w:val="32"/>
        </w:rPr>
        <w:t>2356</w:t>
      </w:r>
      <w:r>
        <w:rPr>
          <w:rFonts w:ascii="SimSun" w:eastAsia="SimSun" w:hAnsi="SimSun" w:cs="SimSun"/>
          <w:sz w:val="32"/>
          <w:szCs w:val="32"/>
        </w:rPr>
        <w:t>段）和《提尔密集圣训实录》（</w:t>
      </w:r>
      <w:r>
        <w:rPr>
          <w:rFonts w:ascii="SimSun" w:eastAsia="SimSun" w:hAnsi="SimSun" w:cs="SimSun"/>
          <w:sz w:val="32"/>
          <w:szCs w:val="32"/>
        </w:rPr>
        <w:t>693</w:t>
      </w:r>
      <w:r>
        <w:rPr>
          <w:rFonts w:ascii="SimSun" w:eastAsia="SimSun" w:hAnsi="SimSun" w:cs="SimSun"/>
          <w:sz w:val="32"/>
          <w:szCs w:val="32"/>
        </w:rPr>
        <w:t>段）辑录，谢赫艾利巴尼在《解渴》（</w:t>
      </w:r>
      <w:r>
        <w:rPr>
          <w:rFonts w:ascii="SimSun" w:eastAsia="SimSun" w:hAnsi="SimSun" w:cs="SimSun"/>
          <w:sz w:val="32"/>
          <w:szCs w:val="32"/>
        </w:rPr>
        <w:t>4 / 45</w:t>
      </w:r>
      <w:r>
        <w:rPr>
          <w:rFonts w:ascii="SimSun" w:eastAsia="SimSun" w:hAnsi="SimSun" w:cs="SimSun"/>
          <w:sz w:val="32"/>
          <w:szCs w:val="32"/>
        </w:rPr>
        <w:t>）中认为这是优美的圣训。</w:t>
      </w:r>
    </w:p>
    <w:p w:rsidR="000B441A" w:rsidRDefault="009B08A6">
      <w:pPr>
        <w:spacing w:after="164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第六：在开斋的时候念开斋的祈祷词是圣行，按照正确的传述，那就是念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太斯米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，这是必须的（瓦直布），因为先知（愿主福安之）</w:t>
      </w:r>
      <w:r>
        <w:rPr>
          <w:rFonts w:ascii="SimSun" w:eastAsia="SimSun" w:hAnsi="SimSun" w:cs="SimSun"/>
          <w:sz w:val="32"/>
          <w:szCs w:val="32"/>
        </w:rPr>
        <w:t>命令要念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太斯米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；至于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主啊，我为你封斋，我用你的给养开斋；主啊，求你接受我的斋戒，你的确是全听的、是全知的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这个祈祷词是微弱的，正如伊本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甘伊姆在《归途粮秣》（</w:t>
      </w:r>
      <w:r>
        <w:rPr>
          <w:rFonts w:ascii="SimSun" w:eastAsia="SimSun" w:hAnsi="SimSun" w:cs="SimSun"/>
          <w:sz w:val="32"/>
          <w:szCs w:val="32"/>
        </w:rPr>
        <w:t>2 / 51</w:t>
      </w:r>
      <w:r>
        <w:rPr>
          <w:rFonts w:ascii="SimSun" w:eastAsia="SimSun" w:hAnsi="SimSun" w:cs="SimSun"/>
          <w:sz w:val="32"/>
          <w:szCs w:val="32"/>
        </w:rPr>
        <w:t>）中所说的那样；至于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饥渴过去了，血管湿润了，如果真主意欲，代价肯定了。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这个祈祷词是艾布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达伍德在（</w:t>
      </w:r>
      <w:r>
        <w:rPr>
          <w:rFonts w:ascii="SimSun" w:eastAsia="SimSun" w:hAnsi="SimSun" w:cs="SimSun"/>
          <w:sz w:val="32"/>
          <w:szCs w:val="32"/>
        </w:rPr>
        <w:t>2357</w:t>
      </w:r>
      <w:r>
        <w:rPr>
          <w:rFonts w:ascii="SimSun" w:eastAsia="SimSun" w:hAnsi="SimSun" w:cs="SimSun"/>
          <w:sz w:val="32"/>
          <w:szCs w:val="32"/>
        </w:rPr>
        <w:t>段</w:t>
      </w:r>
      <w:r>
        <w:rPr>
          <w:rFonts w:ascii="SimSun" w:eastAsia="SimSun" w:hAnsi="SimSun" w:cs="SimSun"/>
          <w:sz w:val="32"/>
          <w:szCs w:val="32"/>
        </w:rPr>
        <w:lastRenderedPageBreak/>
        <w:t>）和白海格在（</w:t>
      </w:r>
      <w:r>
        <w:rPr>
          <w:rFonts w:ascii="SimSun" w:eastAsia="SimSun" w:hAnsi="SimSun" w:cs="SimSun"/>
          <w:sz w:val="32"/>
          <w:szCs w:val="32"/>
        </w:rPr>
        <w:t>4 / 239</w:t>
      </w:r>
      <w:r>
        <w:rPr>
          <w:rFonts w:ascii="SimSun" w:eastAsia="SimSun" w:hAnsi="SimSun" w:cs="SimSun"/>
          <w:sz w:val="32"/>
          <w:szCs w:val="32"/>
        </w:rPr>
        <w:t>）辑录的，谢赫艾利巴尼在《解渴</w:t>
      </w:r>
      <w:proofErr w:type="gramStart"/>
      <w:r>
        <w:rPr>
          <w:rFonts w:ascii="SimSun" w:eastAsia="SimSun" w:hAnsi="SimSun" w:cs="SimSun"/>
          <w:sz w:val="32"/>
          <w:szCs w:val="32"/>
        </w:rPr>
        <w:t>》</w:t>
      </w:r>
      <w:r>
        <w:rPr>
          <w:rFonts w:ascii="SimSun" w:eastAsia="SimSun" w:hAnsi="SimSun" w:cs="SimSun"/>
          <w:sz w:val="32"/>
          <w:szCs w:val="32"/>
        </w:rPr>
        <w:t>(</w:t>
      </w:r>
      <w:proofErr w:type="gramEnd"/>
      <w:r>
        <w:rPr>
          <w:rFonts w:ascii="SimSun" w:eastAsia="SimSun" w:hAnsi="SimSun" w:cs="SimSun"/>
          <w:sz w:val="32"/>
          <w:szCs w:val="32"/>
        </w:rPr>
        <w:t xml:space="preserve"> 4 / 39 )</w:t>
      </w:r>
      <w:proofErr w:type="spellStart"/>
      <w:r>
        <w:rPr>
          <w:rFonts w:ascii="SimSun" w:eastAsia="SimSun" w:hAnsi="SimSun" w:cs="SimSun"/>
          <w:sz w:val="32"/>
          <w:szCs w:val="32"/>
        </w:rPr>
        <w:t>中认为这是优美的圣训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0B441A" w:rsidRDefault="009B08A6">
      <w:pPr>
        <w:spacing w:after="164" w:line="480" w:lineRule="auto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关于封斋者念祈祷词的优越性，在圣训中叙述如下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</w:p>
    <w:p w:rsidR="000B441A" w:rsidRDefault="009B08A6">
      <w:pPr>
        <w:spacing w:after="164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 xml:space="preserve">1 </w:t>
      </w:r>
      <w:r>
        <w:rPr>
          <w:rFonts w:ascii="SimSun" w:eastAsia="SimSun" w:hAnsi="SimSun" w:cs="SimSun"/>
          <w:sz w:val="32"/>
          <w:szCs w:val="32"/>
        </w:rPr>
        <w:t>艾奈斯（愿主喜悦之）传述：先知（愿主福安之）说：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三种人的祈祷是不会被真主拒绝的：父亲的祈祷、封斋者的祈祷和旅行者的祈祷。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白海格在（</w:t>
      </w:r>
      <w:r>
        <w:rPr>
          <w:rFonts w:ascii="SimSun" w:eastAsia="SimSun" w:hAnsi="SimSun" w:cs="SimSun"/>
          <w:sz w:val="32"/>
          <w:szCs w:val="32"/>
        </w:rPr>
        <w:t>3 / 345</w:t>
      </w:r>
      <w:r>
        <w:rPr>
          <w:rFonts w:ascii="SimSun" w:eastAsia="SimSun" w:hAnsi="SimSun" w:cs="SimSun"/>
          <w:sz w:val="32"/>
          <w:szCs w:val="32"/>
        </w:rPr>
        <w:t>）辑录，谢赫艾利巴尼在《正确的圣训》（</w:t>
      </w:r>
      <w:r>
        <w:rPr>
          <w:rFonts w:ascii="SimSun" w:eastAsia="SimSun" w:hAnsi="SimSun" w:cs="SimSun"/>
          <w:sz w:val="32"/>
          <w:szCs w:val="32"/>
        </w:rPr>
        <w:t>1797</w:t>
      </w:r>
      <w:r>
        <w:rPr>
          <w:rFonts w:ascii="SimSun" w:eastAsia="SimSun" w:hAnsi="SimSun" w:cs="SimSun"/>
          <w:sz w:val="32"/>
          <w:szCs w:val="32"/>
        </w:rPr>
        <w:t>段）中认为这是正确的圣训；</w:t>
      </w:r>
    </w:p>
    <w:p w:rsidR="000B441A" w:rsidRDefault="009B08A6">
      <w:pPr>
        <w:spacing w:after="164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 xml:space="preserve">2 </w:t>
      </w:r>
      <w:r>
        <w:rPr>
          <w:rFonts w:ascii="SimSun" w:eastAsia="SimSun" w:hAnsi="SimSun" w:cs="SimSun"/>
          <w:sz w:val="32"/>
          <w:szCs w:val="32"/>
        </w:rPr>
        <w:t>艾布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吴玛迈（愿主喜悦之）传述：真主在封斋者每一次开斋的时候释放许多人。艾哈迈德在（</w:t>
      </w:r>
      <w:r>
        <w:rPr>
          <w:rFonts w:ascii="SimSun" w:eastAsia="SimSun" w:hAnsi="SimSun" w:cs="SimSun"/>
          <w:sz w:val="32"/>
          <w:szCs w:val="32"/>
        </w:rPr>
        <w:t>21698</w:t>
      </w:r>
      <w:r>
        <w:rPr>
          <w:rFonts w:ascii="SimSun" w:eastAsia="SimSun" w:hAnsi="SimSun" w:cs="SimSun"/>
          <w:sz w:val="32"/>
          <w:szCs w:val="32"/>
        </w:rPr>
        <w:t>）辑录，谢赫艾利巴尼在《鼓励》（</w:t>
      </w:r>
      <w:r>
        <w:rPr>
          <w:rFonts w:ascii="SimSun" w:eastAsia="SimSun" w:hAnsi="SimSun" w:cs="SimSun"/>
          <w:sz w:val="32"/>
          <w:szCs w:val="32"/>
        </w:rPr>
        <w:t>1 / 491</w:t>
      </w:r>
      <w:r>
        <w:rPr>
          <w:rFonts w:ascii="SimSun" w:eastAsia="SimSun" w:hAnsi="SimSun" w:cs="SimSun"/>
          <w:sz w:val="32"/>
          <w:szCs w:val="32"/>
        </w:rPr>
        <w:t>）中认为这是正确的圣训；</w:t>
      </w:r>
    </w:p>
    <w:p w:rsidR="000B441A" w:rsidRDefault="009B08A6">
      <w:pPr>
        <w:spacing w:after="164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 xml:space="preserve">3 </w:t>
      </w:r>
      <w:r>
        <w:rPr>
          <w:rFonts w:ascii="SimSun" w:eastAsia="SimSun" w:hAnsi="SimSun" w:cs="SimSun"/>
          <w:sz w:val="32"/>
          <w:szCs w:val="32"/>
        </w:rPr>
        <w:t>艾布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赛义德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胡德尔（愿主喜悦之）传述：真主在斋月的每一个白昼和夜晚释放许多人；每一个穆斯林在每个白昼和夜晚都有</w:t>
      </w:r>
      <w:r>
        <w:rPr>
          <w:rFonts w:ascii="SimSun" w:eastAsia="SimSun" w:hAnsi="SimSun" w:cs="SimSun"/>
          <w:sz w:val="32"/>
          <w:szCs w:val="32"/>
        </w:rPr>
        <w:t>被真主答应的祈祷。谢赫艾利巴尼在《鼓励》（</w:t>
      </w:r>
      <w:r>
        <w:rPr>
          <w:rFonts w:ascii="SimSun" w:eastAsia="SimSun" w:hAnsi="SimSun" w:cs="SimSun"/>
          <w:sz w:val="32"/>
          <w:szCs w:val="32"/>
        </w:rPr>
        <w:t>1 / 491</w:t>
      </w:r>
      <w:r>
        <w:rPr>
          <w:rFonts w:ascii="SimSun" w:eastAsia="SimSun" w:hAnsi="SimSun" w:cs="SimSun"/>
          <w:sz w:val="32"/>
          <w:szCs w:val="32"/>
        </w:rPr>
        <w:t>）中认为这是正确的圣训。</w:t>
      </w:r>
    </w:p>
    <w:p w:rsidR="000B441A" w:rsidRDefault="009B08A6">
      <w:pPr>
        <w:spacing w:after="164" w:line="480" w:lineRule="auto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lastRenderedPageBreak/>
        <w:t>敬请参阅</w:t>
      </w:r>
      <w:proofErr w:type="spellEnd"/>
      <w:r>
        <w:rPr>
          <w:rFonts w:ascii="SimSun" w:eastAsia="SimSun" w:hAnsi="SimSun" w:cs="SimSun"/>
          <w:sz w:val="32"/>
          <w:szCs w:val="32"/>
        </w:rPr>
        <w:t>（</w:t>
      </w:r>
      <w:r>
        <w:rPr>
          <w:rFonts w:ascii="SimSun" w:eastAsia="SimSun" w:hAnsi="SimSun" w:cs="SimSun"/>
          <w:sz w:val="32"/>
          <w:szCs w:val="32"/>
        </w:rPr>
        <w:t> </w:t>
      </w:r>
      <w:hyperlink r:id="rId8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37745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）、（</w:t>
      </w:r>
      <w:r>
        <w:rPr>
          <w:rFonts w:ascii="Arial Unicode MS" w:eastAsia="Arial Unicode MS" w:hAnsi="Arial Unicode MS" w:cs="Arial Unicode MS"/>
          <w:sz w:val="32"/>
          <w:szCs w:val="32"/>
        </w:rPr>
        <w:t> </w:t>
      </w:r>
      <w:hyperlink r:id="rId9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37720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）、（</w:t>
      </w:r>
      <w:r>
        <w:rPr>
          <w:rFonts w:ascii="Arial Unicode MS" w:eastAsia="Arial Unicode MS" w:hAnsi="Arial Unicode MS" w:cs="Arial Unicode MS"/>
          <w:sz w:val="32"/>
          <w:szCs w:val="32"/>
        </w:rPr>
        <w:t> </w:t>
      </w:r>
      <w:hyperlink r:id="rId10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13999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 </w:t>
      </w:r>
      <w:r>
        <w:rPr>
          <w:rFonts w:ascii="Arial Unicode MS" w:eastAsia="Arial Unicode MS" w:hAnsi="Arial Unicode MS" w:cs="Arial Unicode MS"/>
          <w:sz w:val="32"/>
          <w:szCs w:val="32"/>
        </w:rPr>
        <w:t>）和（</w:t>
      </w:r>
      <w:r>
        <w:rPr>
          <w:rFonts w:ascii="Arial Unicode MS" w:eastAsia="Arial Unicode MS" w:hAnsi="Arial Unicode MS" w:cs="Arial Unicode MS"/>
          <w:sz w:val="32"/>
          <w:szCs w:val="32"/>
        </w:rPr>
        <w:t> </w:t>
      </w:r>
      <w:hyperlink r:id="rId11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14103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 </w:t>
      </w:r>
      <w:r>
        <w:rPr>
          <w:rFonts w:ascii="Arial Unicode MS" w:eastAsia="Arial Unicode MS" w:hAnsi="Arial Unicode MS" w:cs="Arial Unicode MS"/>
          <w:sz w:val="32"/>
          <w:szCs w:val="32"/>
        </w:rPr>
        <w:t>）</w:t>
      </w:r>
      <w:proofErr w:type="spellStart"/>
      <w:r>
        <w:rPr>
          <w:rFonts w:ascii="Arial Unicode MS" w:eastAsia="Arial Unicode MS" w:hAnsi="Arial Unicode MS" w:cs="Arial Unicode MS"/>
          <w:sz w:val="32"/>
          <w:szCs w:val="32"/>
        </w:rPr>
        <w:t>号问题的回答</w:t>
      </w:r>
      <w:proofErr w:type="spellEnd"/>
      <w:r>
        <w:rPr>
          <w:rFonts w:ascii="Arial Unicode MS" w:eastAsia="Arial Unicode MS" w:hAnsi="Arial Unicode MS" w:cs="Arial Unicode MS"/>
          <w:sz w:val="32"/>
          <w:szCs w:val="32"/>
        </w:rPr>
        <w:t>。</w:t>
      </w:r>
    </w:p>
    <w:p w:rsidR="000B441A" w:rsidRDefault="009B08A6">
      <w:pPr>
        <w:spacing w:after="164" w:line="480" w:lineRule="auto"/>
        <w:jc w:val="both"/>
      </w:pPr>
      <w:r>
        <w:rPr>
          <w:rFonts w:ascii="Arial Unicode MS" w:eastAsia="Arial Unicode MS" w:hAnsi="Arial Unicode MS" w:cs="Arial Unicode MS"/>
          <w:sz w:val="32"/>
          <w:szCs w:val="32"/>
        </w:rPr>
        <w:t> </w:t>
      </w:r>
      <w:proofErr w:type="spellStart"/>
      <w:r>
        <w:rPr>
          <w:rFonts w:ascii="Arial Unicode MS" w:eastAsia="Arial Unicode MS" w:hAnsi="Arial Unicode MS" w:cs="Arial Unicode MS"/>
          <w:sz w:val="32"/>
          <w:szCs w:val="32"/>
        </w:rPr>
        <w:t>真主至知</w:t>
      </w:r>
      <w:proofErr w:type="spellEnd"/>
      <w:r>
        <w:rPr>
          <w:rFonts w:ascii="Arial Unicode MS" w:eastAsia="Arial Unicode MS" w:hAnsi="Arial Unicode MS" w:cs="Arial Unicode MS"/>
          <w:sz w:val="32"/>
          <w:szCs w:val="32"/>
        </w:rPr>
        <w:t>！</w:t>
      </w:r>
    </w:p>
    <w:p w:rsidR="000B441A" w:rsidRDefault="000B441A">
      <w:pPr>
        <w:tabs>
          <w:tab w:val="left" w:pos="753"/>
          <w:tab w:val="left" w:pos="3933"/>
          <w:tab w:val="center" w:pos="3968"/>
        </w:tabs>
      </w:pPr>
    </w:p>
    <w:p w:rsidR="000B441A" w:rsidRDefault="000B441A">
      <w:pPr>
        <w:tabs>
          <w:tab w:val="left" w:pos="753"/>
          <w:tab w:val="left" w:pos="3933"/>
          <w:tab w:val="center" w:pos="3968"/>
        </w:tabs>
      </w:pPr>
    </w:p>
    <w:p w:rsidR="000B441A" w:rsidRDefault="000B441A">
      <w:pPr>
        <w:tabs>
          <w:tab w:val="left" w:pos="753"/>
          <w:tab w:val="left" w:pos="3933"/>
          <w:tab w:val="center" w:pos="3968"/>
        </w:tabs>
      </w:pPr>
    </w:p>
    <w:p w:rsidR="000B441A" w:rsidRDefault="000B441A">
      <w:pPr>
        <w:spacing w:after="0" w:line="240" w:lineRule="auto"/>
        <w:ind w:firstLine="340"/>
        <w:jc w:val="both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>
      <w:pPr>
        <w:jc w:val="center"/>
      </w:pPr>
    </w:p>
    <w:p w:rsidR="000B441A" w:rsidRDefault="000B441A" w:rsidP="00740659">
      <w:bookmarkStart w:id="0" w:name="_GoBack"/>
      <w:bookmarkEnd w:id="0"/>
    </w:p>
    <w:sectPr w:rsidR="000B441A">
      <w:headerReference w:type="default" r:id="rId12"/>
      <w:headerReference w:type="first" r:id="rId13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A6" w:rsidRDefault="009B08A6">
      <w:pPr>
        <w:spacing w:after="0" w:line="240" w:lineRule="auto"/>
      </w:pPr>
      <w:r>
        <w:separator/>
      </w:r>
    </w:p>
  </w:endnote>
  <w:endnote w:type="continuationSeparator" w:id="0">
    <w:p w:rsidR="009B08A6" w:rsidRDefault="009B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A6" w:rsidRDefault="009B08A6">
      <w:pPr>
        <w:spacing w:after="0" w:line="240" w:lineRule="auto"/>
      </w:pPr>
      <w:r>
        <w:separator/>
      </w:r>
    </w:p>
  </w:footnote>
  <w:footnote w:type="continuationSeparator" w:id="0">
    <w:p w:rsidR="009B08A6" w:rsidRDefault="009B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41A" w:rsidRDefault="000B441A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41A" w:rsidRDefault="009B08A6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B441A" w:rsidRDefault="000B441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B441A" w:rsidRDefault="009B08A6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0B441A" w:rsidRDefault="000B441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0B441A" w:rsidRDefault="009B08A6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441A"/>
    <w:rsid w:val="000B441A"/>
    <w:rsid w:val="00740659"/>
    <w:rsid w:val="009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B18C6-3BD2-4F44-8CE4-F90E5FD9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37745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49716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slamqa.info/zh/1410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139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slamqa.info/zh/3772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922</Words>
  <Characters>1015</Characters>
  <Application>Microsoft Office Word</Application>
  <DocSecurity>0</DocSecurity>
  <Lines>72</Lines>
  <Paragraphs>28</Paragraphs>
  <ScaleCrop>false</ScaleCrop>
  <Manager/>
  <Company>islamhouse.com</Company>
  <LinksUpToDate>false</LinksUpToDate>
  <CharactersWithSpaces>1909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封斋的一部分圣行_x000d_</dc:title>
  <dc:subject>封斋的一部分圣行_x000d_</dc:subject>
  <dc:creator>伊斯兰问答网站</dc:creator>
  <cp:keywords>封斋的一部分圣行_x000d_</cp:keywords>
  <dc:description>封斋的一部分圣行_x000d_</dc:description>
  <cp:lastModifiedBy>elhashemy</cp:lastModifiedBy>
  <cp:revision>2</cp:revision>
  <dcterms:created xsi:type="dcterms:W3CDTF">2015-07-21T09:13:00Z</dcterms:created>
  <dcterms:modified xsi:type="dcterms:W3CDTF">2015-07-21T09:14:00Z</dcterms:modified>
  <cp:category/>
</cp:coreProperties>
</file>