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8923E4" w:rsidRPr="009327E8" w:rsidRDefault="00D24C2B" w:rsidP="00B702E8">
      <w:pPr>
        <w:bidi w:val="0"/>
        <w:spacing w:line="240" w:lineRule="auto"/>
        <w:jc w:val="center"/>
        <w:rPr>
          <w:rFonts w:ascii="SimSun" w:hAnsi="SimSun" w:cs="SimSun"/>
          <w:b/>
          <w:bCs/>
          <w:color w:val="385623" w:themeColor="accent6" w:themeShade="80"/>
          <w:sz w:val="52"/>
          <w:szCs w:val="52"/>
          <w:lang w:eastAsia="zh-CN"/>
        </w:rPr>
      </w:pPr>
      <w:r w:rsidRPr="00D24C2B">
        <w:rPr>
          <w:rFonts w:ascii="SimSun" w:hAnsi="SimSun" w:cs="SimSun" w:hint="eastAsia"/>
          <w:b/>
          <w:bCs/>
          <w:color w:val="385623" w:themeColor="accent6" w:themeShade="80"/>
          <w:sz w:val="52"/>
          <w:szCs w:val="52"/>
          <w:lang w:eastAsia="zh-CN"/>
        </w:rPr>
        <w:t>圣门弟子等学者的话什么时候可以成为教法证据？</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D24C2B" w:rsidRPr="00D24C2B" w:rsidRDefault="00D24C2B" w:rsidP="00D24C2B">
      <w:pPr>
        <w:spacing w:after="54"/>
        <w:jc w:val="center"/>
        <w:outlineLvl w:val="3"/>
        <w:rPr>
          <w:rFonts w:ascii="Helvetica" w:eastAsia="SimSun" w:hAnsi="Helvetica" w:cs="SimSun"/>
          <w:b/>
          <w:bCs/>
          <w:color w:val="385623" w:themeColor="accent6" w:themeShade="80"/>
          <w:sz w:val="52"/>
          <w:szCs w:val="52"/>
        </w:rPr>
      </w:pPr>
      <w:r w:rsidRPr="00D24C2B">
        <w:rPr>
          <w:rFonts w:ascii="Helvetica" w:eastAsia="SimSun" w:hAnsi="Helvetica" w:cs="Times New Roman"/>
          <w:b/>
          <w:bCs/>
          <w:color w:val="385623" w:themeColor="accent6" w:themeShade="80"/>
          <w:sz w:val="52"/>
          <w:szCs w:val="52"/>
          <w:rtl/>
        </w:rPr>
        <w:t>متى يكون قول العالم – صحابيا كان أو غيره – حجة ؟</w:t>
      </w:r>
    </w:p>
    <w:p w:rsidR="00B702E8" w:rsidRPr="00D24C2B" w:rsidRDefault="00B702E8" w:rsidP="00B702E8">
      <w:pPr>
        <w:bidi w:val="0"/>
        <w:spacing w:line="240" w:lineRule="auto"/>
        <w:jc w:val="center"/>
        <w:rPr>
          <w:rFonts w:ascii="Times New Roman" w:hAnsi="Times New Roman" w:cs="Times New Roman"/>
          <w:color w:val="385623" w:themeColor="accent6" w:themeShade="80"/>
          <w:sz w:val="52"/>
          <w:szCs w:val="52"/>
          <w:lang w:eastAsia="zh-CN" w:bidi="ar-EG"/>
        </w:rPr>
      </w:pPr>
    </w:p>
    <w:p w:rsidR="009003B8" w:rsidRPr="009C34D2" w:rsidRDefault="009003B8" w:rsidP="008923E4">
      <w:pPr>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CD0FA1" w:rsidRDefault="006B7C86" w:rsidP="003764D3">
      <w:pPr>
        <w:tabs>
          <w:tab w:val="left" w:pos="2461"/>
        </w:tabs>
        <w:bidi w:val="0"/>
        <w:jc w:val="center"/>
        <w:rPr>
          <w:rFonts w:ascii="Times New Roman" w:hAnsi="Times New Roman" w:cs="Times New Roman"/>
          <w:color w:val="006666"/>
          <w:sz w:val="32"/>
          <w:szCs w:val="32"/>
          <w:lang w:eastAsia="zh-CN" w:bidi="ar-EG"/>
        </w:rPr>
      </w:pPr>
    </w:p>
    <w:p w:rsidR="006B7C86" w:rsidRPr="009C34D2" w:rsidRDefault="00D24C2B"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D24C2B">
        <w:rPr>
          <w:rFonts w:asciiTheme="majorBidi" w:hAnsiTheme="majorBidi" w:cstheme="majorBidi" w:hint="eastAsia"/>
          <w:b/>
          <w:bCs/>
          <w:color w:val="000000" w:themeColor="text1"/>
          <w:sz w:val="32"/>
          <w:szCs w:val="32"/>
          <w:lang w:eastAsia="zh-CN" w:bidi="ar-EG"/>
        </w:rPr>
        <w:lastRenderedPageBreak/>
        <w:t>圣门弟子等学者的话什么时候可以成为教法证据？</w:t>
      </w:r>
      <w:r w:rsidR="009003B8" w:rsidRPr="009C34D2">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D24C2B" w:rsidRPr="00D24C2B" w:rsidRDefault="00D24C2B" w:rsidP="00D24C2B">
      <w:pPr>
        <w:pStyle w:val="list-group-item-text"/>
        <w:shd w:val="clear" w:color="auto" w:fill="FFFFFF"/>
        <w:spacing w:before="0" w:beforeAutospacing="0" w:after="0" w:afterAutospacing="0" w:line="480" w:lineRule="auto"/>
        <w:ind w:left="643" w:hangingChars="200" w:hanging="643"/>
        <w:jc w:val="both"/>
        <w:rPr>
          <w:rFonts w:ascii="Tahoma" w:hAnsi="Tahoma" w:cs="Tahoma"/>
          <w:b/>
          <w:bCs/>
          <w:color w:val="FF0000"/>
          <w:sz w:val="32"/>
          <w:szCs w:val="32"/>
        </w:rPr>
      </w:pPr>
      <w:r>
        <w:rPr>
          <w:rFonts w:ascii="Tahoma" w:hAnsi="Tahoma" w:cs="Tahoma" w:hint="eastAsia"/>
          <w:b/>
          <w:bCs/>
          <w:color w:val="FF0000"/>
          <w:sz w:val="32"/>
          <w:szCs w:val="32"/>
        </w:rPr>
        <w:t>问：</w:t>
      </w:r>
      <w:r w:rsidRPr="00D24C2B">
        <w:rPr>
          <w:rFonts w:ascii="Tahoma" w:hAnsi="Tahoma" w:cs="Tahoma"/>
          <w:b/>
          <w:bCs/>
          <w:color w:val="FF0000"/>
          <w:sz w:val="32"/>
          <w:szCs w:val="32"/>
        </w:rPr>
        <w:t>有时候我们在不同的场合听到通过圣门弟子传述的主张，有时候我们听到通过伊玛目传述的主张，而伊斯兰的总则指导我们要遵循《古兰经》和圣训，穆斯林什么时候必须要遵循圣门弟子或者伊玛目的主张？怎样在这件事和必须要遵循《古兰经》和圣训的总则之间进行协调？</w:t>
      </w:r>
    </w:p>
    <w:p w:rsidR="00D24C2B" w:rsidRPr="00D24C2B" w:rsidRDefault="00D24C2B" w:rsidP="00D24C2B">
      <w:pPr>
        <w:pStyle w:val="NormalWeb"/>
        <w:shd w:val="clear" w:color="auto" w:fill="FFFFFF"/>
        <w:spacing w:before="0" w:beforeAutospacing="0" w:after="107" w:afterAutospacing="0" w:line="480" w:lineRule="auto"/>
        <w:jc w:val="both"/>
        <w:rPr>
          <w:rFonts w:ascii="Tahoma" w:hAnsi="Tahoma" w:cs="Tahoma"/>
          <w:color w:val="000000" w:themeColor="text1"/>
          <w:sz w:val="32"/>
          <w:szCs w:val="32"/>
        </w:rPr>
      </w:pPr>
      <w:r>
        <w:rPr>
          <w:rFonts w:ascii="Tahoma" w:hAnsi="Tahoma" w:cs="Tahoma" w:hint="eastAsia"/>
          <w:color w:val="000000" w:themeColor="text1"/>
          <w:sz w:val="32"/>
          <w:szCs w:val="32"/>
        </w:rPr>
        <w:t>答：</w:t>
      </w:r>
      <w:r w:rsidRPr="00D24C2B">
        <w:rPr>
          <w:rFonts w:ascii="Tahoma" w:hAnsi="Tahoma" w:cs="Tahoma"/>
          <w:color w:val="000000" w:themeColor="text1"/>
          <w:sz w:val="32"/>
          <w:szCs w:val="32"/>
        </w:rPr>
        <w:t>一切赞颂，全归真主。</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遵循《古兰经》和圣训与遵循真主的使者（愿主福安之）的弟子和德高望重的学者们的主张之间并不矛盾，而且遵循他们的主张也属于遵循《古兰经》和圣训的范畴；真主说：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在你之前，我只派遣了曾奉启示的许多男人；如果你们不知道，</w:t>
      </w:r>
      <w:r w:rsidRPr="00D24C2B">
        <w:rPr>
          <w:rFonts w:ascii="Tahoma" w:hAnsi="Tahoma" w:cs="Tahoma"/>
          <w:color w:val="000000" w:themeColor="text1"/>
          <w:sz w:val="32"/>
          <w:szCs w:val="32"/>
        </w:rPr>
        <w:t xml:space="preserve"> </w:t>
      </w:r>
      <w:r w:rsidRPr="00D24C2B">
        <w:rPr>
          <w:rFonts w:ascii="Tahoma" w:hAnsi="Tahoma" w:cs="Tahoma"/>
          <w:color w:val="000000" w:themeColor="text1"/>
          <w:sz w:val="32"/>
          <w:szCs w:val="32"/>
        </w:rPr>
        <w:t>就应当询问精通教诲的人。</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21:7</w:t>
      </w:r>
      <w:r w:rsidRPr="00D24C2B">
        <w:rPr>
          <w:rFonts w:ascii="Tahoma" w:hAnsi="Tahoma" w:cs="Tahoma"/>
          <w:color w:val="000000" w:themeColor="text1"/>
          <w:sz w:val="32"/>
          <w:szCs w:val="32"/>
        </w:rPr>
        <w:t>）</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《艾布</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达伍德圣训实录》（</w:t>
      </w:r>
      <w:r w:rsidRPr="00D24C2B">
        <w:rPr>
          <w:rFonts w:ascii="Tahoma" w:hAnsi="Tahoma" w:cs="Tahoma"/>
          <w:color w:val="000000" w:themeColor="text1"/>
          <w:sz w:val="32"/>
          <w:szCs w:val="32"/>
        </w:rPr>
        <w:t>3641</w:t>
      </w:r>
      <w:r w:rsidRPr="00D24C2B">
        <w:rPr>
          <w:rFonts w:ascii="Tahoma" w:hAnsi="Tahoma" w:cs="Tahoma"/>
          <w:color w:val="000000" w:themeColor="text1"/>
          <w:sz w:val="32"/>
          <w:szCs w:val="32"/>
        </w:rPr>
        <w:t>段）辑录：艾布</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戴尔达伊（愿主喜悦之）传述：我听到真主的使者（愿主福安之）说：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学者们是众先知的继承人；众先知没有遗留金币和银币，他们只留下了知识，谁如果获得了他们的知识，他已经获得了莫大的</w:t>
      </w:r>
      <w:r w:rsidRPr="00D24C2B">
        <w:rPr>
          <w:rFonts w:ascii="Tahoma" w:hAnsi="Tahoma" w:cs="Tahoma"/>
          <w:color w:val="000000" w:themeColor="text1"/>
          <w:sz w:val="32"/>
          <w:szCs w:val="32"/>
        </w:rPr>
        <w:lastRenderedPageBreak/>
        <w:t>福分。</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谢赫艾利巴尼在《艾布</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达伍德圣训实录》认为这是正确的圣训。</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无论是不是圣门弟子，学者的主张不外乎以下的情况：要么符合圣行或者违背圣训，如果符合圣训，必须要遵循他的主张，并且要实践，因为学者比其他人更了解真主和他的使者。</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如果违背圣训，则不能遵循它，而应该坚持圣训；什么时候知道这个学者的主张违背了圣训，就不能坚持他的主张。</w:t>
      </w:r>
    </w:p>
    <w:p w:rsidR="00D24C2B" w:rsidRPr="00D24C2B" w:rsidRDefault="00D24C2B" w:rsidP="00D24C2B">
      <w:pPr>
        <w:pStyle w:val="NormalWeb"/>
        <w:shd w:val="clear" w:color="auto" w:fill="FFFFFF"/>
        <w:spacing w:before="0" w:beforeAutospacing="0" w:after="107" w:afterAutospacing="0" w:line="480" w:lineRule="auto"/>
        <w:jc w:val="both"/>
        <w:rPr>
          <w:rFonts w:ascii="Tahoma" w:hAnsi="Tahoma" w:cs="Tahoma"/>
          <w:color w:val="000000" w:themeColor="text1"/>
          <w:sz w:val="32"/>
          <w:szCs w:val="32"/>
        </w:rPr>
      </w:pPr>
      <w:r w:rsidRPr="00D24C2B">
        <w:rPr>
          <w:rFonts w:ascii="Tahoma" w:hAnsi="Tahoma" w:cs="Tahoma"/>
          <w:color w:val="000000" w:themeColor="text1"/>
          <w:sz w:val="32"/>
          <w:szCs w:val="32"/>
        </w:rPr>
        <w:t>原则就是：每个人的话，可以采取，也可以放弃，唯有真主的使者（愿主福安之）的话例外。</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尽管如此，以圣门弟子（愿主喜悦他们）为首的学者们仍然在宗教中有他们的位置和地位。</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但是，如果在某个问题中没有经典明文的证据，而且其他的圣门弟子没有反对他们当中的教法学家在这个问题中采取的主张，许多学者认为他的主张可以作为教法证据。</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其中的原则就是：其他的圣门弟子没有反对的、没有违背经典明文的圣门弟子的主张就是教法证据。</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lastRenderedPageBreak/>
        <w:t>伊本</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欧赛米尼（愿主怜悯之）：</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圣门弟子当中著名的教法学家的主张就是教法证据，有两个条件：</w:t>
      </w:r>
      <w:r w:rsidRPr="00D24C2B">
        <w:rPr>
          <w:rFonts w:ascii="Tahoma" w:hAnsi="Tahoma" w:cs="Tahoma"/>
          <w:color w:val="FF0000"/>
          <w:sz w:val="32"/>
          <w:szCs w:val="32"/>
        </w:rPr>
        <w:t>第一个条件</w:t>
      </w:r>
      <w:r w:rsidRPr="00D24C2B">
        <w:rPr>
          <w:rFonts w:ascii="Tahoma" w:hAnsi="Tahoma" w:cs="Tahoma"/>
          <w:color w:val="000000" w:themeColor="text1"/>
          <w:sz w:val="32"/>
          <w:szCs w:val="32"/>
        </w:rPr>
        <w:t>：不违背真主和使者的话，如果违背真主和使者的话，则应当抛弃，然后坚持真主和使者的话；</w:t>
      </w:r>
      <w:r w:rsidRPr="00D24C2B">
        <w:rPr>
          <w:rFonts w:ascii="Tahoma" w:hAnsi="Tahoma" w:cs="Tahoma"/>
          <w:color w:val="FF0000"/>
          <w:sz w:val="32"/>
          <w:szCs w:val="32"/>
        </w:rPr>
        <w:t>第二个条件</w:t>
      </w:r>
      <w:r w:rsidRPr="00D24C2B">
        <w:rPr>
          <w:rFonts w:ascii="Tahoma" w:hAnsi="Tahoma" w:cs="Tahoma"/>
          <w:color w:val="000000" w:themeColor="text1"/>
          <w:sz w:val="32"/>
          <w:szCs w:val="32"/>
        </w:rPr>
        <w:t>：不违背另一个圣门弟子的话，如果违背另一个圣门弟子的话，则应考虑遵循最正确的主张，因为他俩的话无分彼此，其中任何一个人的话不必另一个人的话更应该接受。</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《敞开门扉的聚会》（</w:t>
      </w:r>
      <w:r w:rsidRPr="00D24C2B">
        <w:rPr>
          <w:rFonts w:ascii="Tahoma" w:hAnsi="Tahoma" w:cs="Tahoma"/>
          <w:color w:val="000000" w:themeColor="text1"/>
          <w:sz w:val="32"/>
          <w:szCs w:val="32"/>
        </w:rPr>
        <w:t>59 / 24</w:t>
      </w:r>
      <w:r w:rsidRPr="00D24C2B">
        <w:rPr>
          <w:rFonts w:ascii="Tahoma" w:hAnsi="Tahoma" w:cs="Tahoma"/>
          <w:color w:val="000000" w:themeColor="text1"/>
          <w:sz w:val="32"/>
          <w:szCs w:val="32"/>
        </w:rPr>
        <w:t>）。</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圣门弟子（愿主喜悦他们）所说的关于《古兰经》的降示原因、以及对经文和圣训的解释都属于教法证据，因为他们最了解《古兰经》，最清楚阿拉伯人的语言，《古兰经》是在他们当中被降示的，他们与真主的使者（愿主福安之）一起生活和打交道，他们最了解使者（愿主福安之）的圣训。</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至于除他们之外的学者们：他们也是最了解《古兰经》和圣训的人，知道正确的类比方法，能够演绎教法律例，并从根本上炮制教法律例，真主说：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当安全或恐怖的消息到达他们的时候，他们就加以传播，假若他们把消息报告使者和他们中主事的人，那么，他们中能推理的人，必定知道当如何应付。假若没有真主</w:t>
      </w:r>
      <w:r w:rsidRPr="00D24C2B">
        <w:rPr>
          <w:rFonts w:ascii="Tahoma" w:hAnsi="Tahoma" w:cs="Tahoma"/>
          <w:color w:val="000000" w:themeColor="text1"/>
          <w:sz w:val="32"/>
          <w:szCs w:val="32"/>
        </w:rPr>
        <w:lastRenderedPageBreak/>
        <w:t>所赐你们的恩惠和慈恩，那么，你们除少数人外，必已顺从恶魔了。</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4:83</w:t>
      </w:r>
      <w:r w:rsidRPr="00D24C2B">
        <w:rPr>
          <w:rFonts w:ascii="Tahoma" w:hAnsi="Tahoma" w:cs="Tahoma"/>
          <w:color w:val="000000" w:themeColor="text1"/>
          <w:sz w:val="32"/>
          <w:szCs w:val="32"/>
        </w:rPr>
        <w:t>）</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赛尔迪（愿主怜悯之）说：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其中说明了一个礼节性的原则，如果研究某件事情的时候，应该把它交给专业人士进行研究，其他人不要自作主张，越疱代俎，因为这样的结果更接近正确，更能避免错误。</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《赛尔迪经注》（第</w:t>
      </w:r>
      <w:r w:rsidRPr="00D24C2B">
        <w:rPr>
          <w:rFonts w:ascii="Tahoma" w:hAnsi="Tahoma" w:cs="Tahoma"/>
          <w:color w:val="000000" w:themeColor="text1"/>
          <w:sz w:val="32"/>
          <w:szCs w:val="32"/>
        </w:rPr>
        <w:t>190</w:t>
      </w:r>
      <w:r w:rsidRPr="00D24C2B">
        <w:rPr>
          <w:rFonts w:ascii="Tahoma" w:hAnsi="Tahoma" w:cs="Tahoma"/>
          <w:color w:val="000000" w:themeColor="text1"/>
          <w:sz w:val="32"/>
          <w:szCs w:val="32"/>
        </w:rPr>
        <w:t>页）。</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在遇到疑惑不解的问题的时候必须要向学者们求教，坚持他们的主张，缺乏真知灼见和专业知识的人不能自作聪明，自作主张，所以真主的使者（愿主福安之）命令把《古兰经》和圣训中疑惑不解的问题交给学者去解决：</w:t>
      </w:r>
    </w:p>
    <w:p w:rsidR="00D24C2B" w:rsidRPr="00D24C2B" w:rsidRDefault="00D24C2B" w:rsidP="00D24C2B">
      <w:pPr>
        <w:pStyle w:val="NormalWeb"/>
        <w:shd w:val="clear" w:color="auto" w:fill="FFFFFF"/>
        <w:spacing w:before="0" w:beforeAutospacing="0" w:after="107" w:afterAutospacing="0" w:line="480" w:lineRule="auto"/>
        <w:ind w:firstLineChars="250" w:firstLine="800"/>
        <w:jc w:val="both"/>
        <w:rPr>
          <w:rFonts w:ascii="Tahoma" w:hAnsi="Tahoma" w:cs="Tahoma"/>
          <w:color w:val="000000" w:themeColor="text1"/>
          <w:sz w:val="32"/>
          <w:szCs w:val="32"/>
        </w:rPr>
      </w:pPr>
      <w:r w:rsidRPr="00D24C2B">
        <w:rPr>
          <w:rFonts w:ascii="Tahoma" w:hAnsi="Tahoma" w:cs="Tahoma"/>
          <w:color w:val="000000" w:themeColor="text1"/>
          <w:sz w:val="32"/>
          <w:szCs w:val="32"/>
        </w:rPr>
        <w:t>阿穆尔</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本</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舒尔布（愿主喜悦之）通过他的父亲和爷爷传述：真主的使者（愿主福安之）听到一伙人互相抵赖，他说：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你们之前的民族因此而灭亡，他们用真主的经典互相驳斥；真主降示的经典是互相证实的，所以你们不能利用部分经文否认另一部分经文；凡是你们知道的经文，你们可以说；凡是你们不懂的经文，就把它交给知道经文的人。</w:t>
      </w:r>
      <w:r w:rsidRPr="00D24C2B">
        <w:rPr>
          <w:rFonts w:ascii="Tahoma" w:hAnsi="Tahoma" w:cs="Tahoma"/>
          <w:color w:val="000000" w:themeColor="text1"/>
          <w:sz w:val="32"/>
          <w:szCs w:val="32"/>
        </w:rPr>
        <w:t xml:space="preserve">” </w:t>
      </w:r>
      <w:r w:rsidRPr="00D24C2B">
        <w:rPr>
          <w:rFonts w:ascii="Tahoma" w:hAnsi="Tahoma" w:cs="Tahoma"/>
          <w:color w:val="000000" w:themeColor="text1"/>
          <w:sz w:val="32"/>
          <w:szCs w:val="32"/>
        </w:rPr>
        <w:t>艾哈迈德（</w:t>
      </w:r>
      <w:r w:rsidRPr="00D24C2B">
        <w:rPr>
          <w:rFonts w:ascii="Tahoma" w:hAnsi="Tahoma" w:cs="Tahoma"/>
          <w:color w:val="000000" w:themeColor="text1"/>
          <w:sz w:val="32"/>
          <w:szCs w:val="32"/>
        </w:rPr>
        <w:t>6702</w:t>
      </w:r>
      <w:r w:rsidRPr="00D24C2B">
        <w:rPr>
          <w:rFonts w:ascii="Tahoma" w:hAnsi="Tahoma" w:cs="Tahoma"/>
          <w:color w:val="000000" w:themeColor="text1"/>
          <w:sz w:val="32"/>
          <w:szCs w:val="32"/>
        </w:rPr>
        <w:t>段）和《伊本</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马</w:t>
      </w:r>
      <w:r w:rsidRPr="00D24C2B">
        <w:rPr>
          <w:rFonts w:ascii="Tahoma" w:hAnsi="Tahoma" w:cs="Tahoma"/>
          <w:color w:val="000000" w:themeColor="text1"/>
          <w:sz w:val="32"/>
          <w:szCs w:val="32"/>
        </w:rPr>
        <w:lastRenderedPageBreak/>
        <w:t>哲圣训实录》（</w:t>
      </w:r>
      <w:r w:rsidRPr="00D24C2B">
        <w:rPr>
          <w:rFonts w:ascii="Tahoma" w:hAnsi="Tahoma" w:cs="Tahoma"/>
          <w:color w:val="000000" w:themeColor="text1"/>
          <w:sz w:val="32"/>
          <w:szCs w:val="32"/>
        </w:rPr>
        <w:t>85</w:t>
      </w:r>
      <w:r w:rsidRPr="00D24C2B">
        <w:rPr>
          <w:rFonts w:ascii="Tahoma" w:hAnsi="Tahoma" w:cs="Tahoma"/>
          <w:color w:val="000000" w:themeColor="text1"/>
          <w:sz w:val="32"/>
          <w:szCs w:val="32"/>
        </w:rPr>
        <w:t>段）辑录，谢赫艾利巴尼在《明灯之龛》中认为这是优美的圣训。</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结论：只要学者们一致认同一节经文或者一段圣训的意思，肯定或者否定一个教法律例，那么这就是正确的教法证据，因为伊斯兰民族不会全部陷入迷误。</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如果他们有所不同，在所有的言论、行为和情况中应该坚持的教法律例就是真主的经</w:t>
      </w:r>
      <w:r>
        <w:rPr>
          <w:rFonts w:ascii="Tahoma" w:hAnsi="Tahoma" w:cs="Tahoma"/>
          <w:color w:val="000000" w:themeColor="text1"/>
          <w:sz w:val="32"/>
          <w:szCs w:val="32"/>
        </w:rPr>
        <w:t>典和他的使者（愿主福安之）的圣训；凡是他们的话中与经典和圣训最</w:t>
      </w:r>
      <w:r>
        <w:rPr>
          <w:rFonts w:ascii="Tahoma" w:hAnsi="Tahoma" w:cs="Tahoma" w:hint="eastAsia"/>
          <w:color w:val="000000" w:themeColor="text1"/>
          <w:sz w:val="32"/>
          <w:szCs w:val="32"/>
        </w:rPr>
        <w:t>相</w:t>
      </w:r>
      <w:r w:rsidRPr="00D24C2B">
        <w:rPr>
          <w:rFonts w:ascii="Tahoma" w:hAnsi="Tahoma" w:cs="Tahoma"/>
          <w:color w:val="000000" w:themeColor="text1"/>
          <w:sz w:val="32"/>
          <w:szCs w:val="32"/>
        </w:rPr>
        <w:t>似、与经典和圣训的教法律例最接近的主张，必须要遵循；凡是他们的话中违背经典和圣训、与经典和圣训的教法律例最远离的主张，必须要驳斥，同时承认所有学者的知识、优越性和宗教操守，真主选择他们就是为了保护他的宗教和维护他的教法律例。</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伊斯兰的谢赫伊本</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泰米叶（愿主怜悯之）说：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如果穆斯林在某个问题中发生争执，必须要把争执的事情归于真主和他的使者，必须要遵循符合《古兰经》和圣训的主张。</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《伊本</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泰米叶法太瓦全集》（</w:t>
      </w:r>
      <w:r w:rsidRPr="00D24C2B">
        <w:rPr>
          <w:rFonts w:ascii="Tahoma" w:hAnsi="Tahoma" w:cs="Tahoma"/>
          <w:color w:val="000000" w:themeColor="text1"/>
          <w:sz w:val="32"/>
          <w:szCs w:val="32"/>
        </w:rPr>
        <w:t>20 / 12</w:t>
      </w:r>
      <w:r w:rsidRPr="00D24C2B">
        <w:rPr>
          <w:rFonts w:ascii="Tahoma" w:hAnsi="Tahoma" w:cs="Tahoma"/>
          <w:color w:val="000000" w:themeColor="text1"/>
          <w:sz w:val="32"/>
          <w:szCs w:val="32"/>
        </w:rPr>
        <w:t>）。</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lastRenderedPageBreak/>
        <w:t>谢赫伊本</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巴兹（愿主怜悯之）说：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如果在一个问题中知道了证据，必须要坚持来自真主或者他的使者（愿主福安之）的证据，哪怕违背知名伊玛目的主张也罢，甚至违背一部分圣门弟子的主张也罢，因为真主说：</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信道的人们啊！你们当服从真主，应当服从使者和你们中的主事人，如果你们为一件事而争执，你们使那件事归真主和使者（判决），如果你们确信真主和末日的话。这对于你们是裨益更多的，是结果更美的。</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真主没有说你们把它归于某某人。</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但是必须要肯定和尊重学者，对他们要彬彬有礼，如果一个人发现了某个伊玛目、学者或者著名的圣训学家坚持的一种微弱的主张，他必须要尊重学者，有礼貌地对待他们，说话要温和，使用良言美语，不能辱骂和鄙视他们，但是要引经据典的阐明真理，为学者祈祷，祈求真主怜悯他、宽恕他。</w:t>
      </w:r>
    </w:p>
    <w:p w:rsidR="00D24C2B" w:rsidRPr="00D24C2B" w:rsidRDefault="00D24C2B" w:rsidP="00D24C2B">
      <w:pPr>
        <w:pStyle w:val="NormalWeb"/>
        <w:shd w:val="clear" w:color="auto" w:fill="FFFFFF"/>
        <w:spacing w:before="0" w:beforeAutospacing="0" w:after="107" w:afterAutospacing="0" w:line="480" w:lineRule="auto"/>
        <w:ind w:firstLineChars="200" w:firstLine="640"/>
        <w:jc w:val="both"/>
        <w:rPr>
          <w:rFonts w:ascii="Tahoma" w:hAnsi="Tahoma" w:cs="Tahoma"/>
          <w:color w:val="000000" w:themeColor="text1"/>
          <w:sz w:val="32"/>
          <w:szCs w:val="32"/>
        </w:rPr>
      </w:pPr>
      <w:r w:rsidRPr="00D24C2B">
        <w:rPr>
          <w:rFonts w:ascii="Tahoma" w:hAnsi="Tahoma" w:cs="Tahoma"/>
          <w:color w:val="000000" w:themeColor="text1"/>
          <w:sz w:val="32"/>
          <w:szCs w:val="32"/>
        </w:rPr>
        <w:t>所以，学者对待学者的道德应该是：尊重学者们的地位，承认他们的能力、作用和美德。《伊本</w:t>
      </w:r>
      <w:r w:rsidRPr="00D24C2B">
        <w:rPr>
          <w:rFonts w:ascii="Tahoma" w:hAnsi="Tahoma" w:cs="Tahoma"/>
          <w:color w:val="000000" w:themeColor="text1"/>
          <w:sz w:val="32"/>
          <w:szCs w:val="32"/>
        </w:rPr>
        <w:t>•</w:t>
      </w:r>
      <w:r w:rsidRPr="00D24C2B">
        <w:rPr>
          <w:rFonts w:ascii="Tahoma" w:hAnsi="Tahoma" w:cs="Tahoma"/>
          <w:color w:val="000000" w:themeColor="text1"/>
          <w:sz w:val="32"/>
          <w:szCs w:val="32"/>
        </w:rPr>
        <w:t>巴兹法太瓦全集》（</w:t>
      </w:r>
      <w:r w:rsidRPr="00D24C2B">
        <w:rPr>
          <w:rFonts w:ascii="Tahoma" w:hAnsi="Tahoma" w:cs="Tahoma"/>
          <w:color w:val="000000" w:themeColor="text1"/>
          <w:sz w:val="32"/>
          <w:szCs w:val="32"/>
        </w:rPr>
        <w:t>26 / 305</w:t>
      </w:r>
      <w:r w:rsidRPr="00D24C2B">
        <w:rPr>
          <w:rFonts w:ascii="Tahoma" w:hAnsi="Tahoma" w:cs="Tahoma"/>
          <w:color w:val="000000" w:themeColor="text1"/>
          <w:sz w:val="32"/>
          <w:szCs w:val="32"/>
        </w:rPr>
        <w:t>）。</w:t>
      </w:r>
    </w:p>
    <w:p w:rsidR="00D24C2B" w:rsidRPr="00657D30" w:rsidRDefault="00D24C2B" w:rsidP="00657D30">
      <w:pPr>
        <w:pStyle w:val="NormalWeb"/>
        <w:shd w:val="clear" w:color="auto" w:fill="FFFFFF"/>
        <w:spacing w:before="0" w:beforeAutospacing="0" w:after="107" w:afterAutospacing="0" w:line="480" w:lineRule="auto"/>
        <w:jc w:val="both"/>
        <w:rPr>
          <w:rFonts w:ascii="Tahoma" w:hAnsi="Tahoma" w:cs="Tahoma"/>
          <w:color w:val="000000" w:themeColor="text1"/>
          <w:sz w:val="28"/>
          <w:szCs w:val="28"/>
        </w:rPr>
      </w:pPr>
      <w:r w:rsidRPr="00657D30">
        <w:rPr>
          <w:rFonts w:ascii="Tahoma" w:hAnsi="Tahoma" w:cs="Tahoma"/>
          <w:color w:val="000000" w:themeColor="text1"/>
          <w:sz w:val="28"/>
          <w:szCs w:val="28"/>
        </w:rPr>
        <w:t>欲了解更多内容，敬请参阅（</w:t>
      </w:r>
      <w:hyperlink r:id="rId8" w:history="1">
        <w:r w:rsidRPr="00657D30">
          <w:rPr>
            <w:rStyle w:val="Hyperlink"/>
            <w:rFonts w:ascii="Tahoma" w:hAnsi="Tahoma" w:cs="Tahoma"/>
            <w:color w:val="000000" w:themeColor="text1"/>
            <w:sz w:val="28"/>
            <w:szCs w:val="28"/>
          </w:rPr>
          <w:t>128658</w:t>
        </w:r>
      </w:hyperlink>
      <w:r w:rsidRPr="00657D30">
        <w:rPr>
          <w:rFonts w:ascii="Tahoma" w:hAnsi="Tahoma" w:cs="Tahoma"/>
          <w:color w:val="000000" w:themeColor="text1"/>
          <w:sz w:val="28"/>
          <w:szCs w:val="28"/>
        </w:rPr>
        <w:t>）号问题的回答。真主至知！</w:t>
      </w: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0757ED">
          <w:headerReference w:type="default" r:id="rId9"/>
          <w:headerReference w:type="first" r:id="rId10"/>
          <w:pgSz w:w="11907" w:h="16840" w:code="9"/>
          <w:pgMar w:top="1134" w:right="1418" w:bottom="1134" w:left="1418" w:header="709" w:footer="709" w:gutter="0"/>
          <w:pgNumType w:start="0"/>
          <w:cols w:space="708"/>
          <w:titlePg/>
          <w:rtlGutter/>
          <w:docGrid w:linePitch="360"/>
        </w:sectPr>
      </w:pPr>
      <w:bookmarkStart w:id="0" w:name="_GoBack"/>
      <w:bookmarkEnd w:id="0"/>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08F" w:rsidRDefault="00D7008F" w:rsidP="00E32771">
      <w:pPr>
        <w:spacing w:after="0" w:line="240" w:lineRule="auto"/>
      </w:pPr>
      <w:r>
        <w:separator/>
      </w:r>
    </w:p>
  </w:endnote>
  <w:endnote w:type="continuationSeparator" w:id="0">
    <w:p w:rsidR="00D7008F" w:rsidRDefault="00D7008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7BEF1FCC-B845-413F-B75C-7A1E623394CF}"/>
  </w:font>
  <w:font w:name="SimSun">
    <w:altName w:val="宋体"/>
    <w:panose1 w:val="02010600030101010101"/>
    <w:charset w:val="86"/>
    <w:family w:val="auto"/>
    <w:pitch w:val="variable"/>
    <w:sig w:usb0="00000003" w:usb1="288F0000" w:usb2="00000016" w:usb3="00000000" w:csb0="00040001" w:csb1="00000000"/>
    <w:embedRegular r:id="rId2" w:subsetted="1" w:fontKey="{6389E5A2-CCC4-4E47-ACC2-5279DF31BFDC}"/>
    <w:embedBold r:id="rId3" w:subsetted="1" w:fontKey="{B73A94A6-465E-4BA9-A8FA-EDB67C876A5E}"/>
  </w:font>
  <w:font w:name="Arial">
    <w:panose1 w:val="020B0604020202020204"/>
    <w:charset w:val="00"/>
    <w:family w:val="swiss"/>
    <w:pitch w:val="variable"/>
    <w:sig w:usb0="E0002AFF" w:usb1="C0007843" w:usb2="00000009" w:usb3="00000000" w:csb0="000001FF" w:csb1="00000000"/>
    <w:embedRegular r:id="rId4" w:fontKey="{141191EC-8D80-4C6D-89EB-697341F53DCC}"/>
    <w:embedBold r:id="rId5" w:fontKey="{7B782B13-83A9-483A-B9AB-B77E7681213B}"/>
  </w:font>
  <w:font w:name="Times New Roman">
    <w:panose1 w:val="02020603050405020304"/>
    <w:charset w:val="00"/>
    <w:family w:val="roman"/>
    <w:pitch w:val="variable"/>
    <w:sig w:usb0="E0002AFF" w:usb1="C0007841" w:usb2="00000009" w:usb3="00000000" w:csb0="000001FF" w:csb1="00000000"/>
    <w:embedRegular r:id="rId6" w:fontKey="{A082CA46-2649-4201-8023-8FD7A6D52119}"/>
    <w:embedBold r:id="rId7" w:fontKey="{1472649E-D1BE-4F06-9845-30FFE9410C42}"/>
  </w:font>
  <w:font w:name="Helvetica">
    <w:panose1 w:val="020B0604020202020204"/>
    <w:charset w:val="00"/>
    <w:family w:val="swiss"/>
    <w:pitch w:val="variable"/>
    <w:sig w:usb0="E0002AFF" w:usb1="C0007843" w:usb2="00000009" w:usb3="00000000" w:csb0="000001FF" w:csb1="00000000"/>
    <w:embedBold r:id="rId8" w:fontKey="{30666618-503F-4A07-816F-F2449B5BCA97}"/>
  </w:font>
  <w:font w:name="Courier New">
    <w:panose1 w:val="02070309020205020404"/>
    <w:charset w:val="00"/>
    <w:family w:val="modern"/>
    <w:pitch w:val="fixed"/>
    <w:sig w:usb0="E0002AFF" w:usb1="C0007843" w:usb2="00000009" w:usb3="00000000" w:csb0="000001FF" w:csb1="00000000"/>
    <w:embedBold r:id="rId9" w:fontKey="{9BE2F175-5876-44C7-B955-5A07818E0B0A}"/>
  </w:font>
  <w:font w:name="Wingdings">
    <w:panose1 w:val="05000000000000000000"/>
    <w:charset w:val="02"/>
    <w:family w:val="auto"/>
    <w:pitch w:val="variable"/>
    <w:sig w:usb0="00000000" w:usb1="10000000" w:usb2="00000000" w:usb3="00000000" w:csb0="80000000" w:csb1="00000000"/>
    <w:embedRegular r:id="rId10" w:fontKey="{5856B304-CA20-4E5E-8F99-ECDE0CECD9F4}"/>
  </w:font>
  <w:font w:name="STXingkai">
    <w:altName w:val="Times New Roman"/>
    <w:panose1 w:val="02010800040101010101"/>
    <w:charset w:val="86"/>
    <w:family w:val="auto"/>
    <w:pitch w:val="variable"/>
    <w:sig w:usb0="00000001" w:usb1="080F0000" w:usb2="00000010" w:usb3="00000000" w:csb0="00040000" w:csb1="00000000"/>
    <w:embedBold r:id="rId11" w:subsetted="1" w:fontKey="{EF60019F-053C-4EAA-B885-68D7B73C9DC0}"/>
  </w:font>
  <w:font w:name="TR Bahamas Light">
    <w:altName w:val="Arial"/>
    <w:panose1 w:val="020B0500000000000000"/>
    <w:charset w:val="00"/>
    <w:family w:val="swiss"/>
    <w:pitch w:val="variable"/>
    <w:sig w:usb0="00000005" w:usb1="00000000" w:usb2="00000000" w:usb3="00000000" w:csb0="00000011" w:csb1="00000000"/>
    <w:embedBold r:id="rId12" w:fontKey="{015E8158-AF0D-4381-A031-6443CE29AC9F}"/>
  </w:font>
  <w:font w:name="mylotus">
    <w:altName w:val="Times New Roman"/>
    <w:panose1 w:val="02000000000000000000"/>
    <w:charset w:val="00"/>
    <w:family w:val="auto"/>
    <w:pitch w:val="variable"/>
    <w:sig w:usb0="00002007" w:usb1="80000000" w:usb2="00000008" w:usb3="00000000" w:csb0="00000043" w:csb1="00000000"/>
    <w:embedBold r:id="rId13" w:fontKey="{654EDED2-98A2-4C3A-84A9-23BE6DECFE06}"/>
  </w:font>
  <w:font w:name="KFGQPC Uthman Taha Naskh">
    <w:altName w:val="Times New Roman"/>
    <w:panose1 w:val="02000000000000000000"/>
    <w:charset w:val="B2"/>
    <w:family w:val="auto"/>
    <w:pitch w:val="variable"/>
    <w:sig w:usb0="80002001" w:usb1="90000000" w:usb2="00000008" w:usb3="00000000" w:csb0="00000040" w:csb1="00000000"/>
    <w:embedBold r:id="rId14" w:fontKey="{79D82093-40D3-427D-B7C1-846073B05198}"/>
  </w:font>
  <w:font w:name="Tahoma">
    <w:panose1 w:val="020B0604030504040204"/>
    <w:charset w:val="00"/>
    <w:family w:val="swiss"/>
    <w:pitch w:val="variable"/>
    <w:sig w:usb0="E1002EFF" w:usb1="C000605B" w:usb2="00000029" w:usb3="00000000" w:csb0="000101FF" w:csb1="00000000"/>
    <w:embedRegular r:id="rId15" w:fontKey="{350CB50A-A964-4933-BBBE-291748CBF860}"/>
    <w:embedBold r:id="rId16" w:fontKey="{62F1E4E3-6501-478D-82B0-96E0943C2FDE}"/>
  </w:font>
  <w:font w:name="Wingdings 2">
    <w:panose1 w:val="05020102010507070707"/>
    <w:charset w:val="02"/>
    <w:family w:val="roman"/>
    <w:pitch w:val="variable"/>
    <w:sig w:usb0="00000000" w:usb1="10000000" w:usb2="00000000" w:usb3="00000000" w:csb0="80000000" w:csb1="00000000"/>
    <w:embedRegular r:id="rId17" w:fontKey="{B79A78D0-2931-4D7D-8CD1-CF186ED338EA}"/>
  </w:font>
  <w:font w:name="Gotham Narrow Book">
    <w:altName w:val="Times New Roman"/>
    <w:charset w:val="00"/>
    <w:family w:val="auto"/>
    <w:pitch w:val="variable"/>
    <w:sig w:usb0="00000001" w:usb1="4000004A" w:usb2="00000000" w:usb3="00000000" w:csb0="0000009B" w:csb1="00000000"/>
    <w:embedRegular r:id="rId18" w:fontKey="{AE3420E7-23DD-4268-86CB-6F38518CEB3A}"/>
  </w:font>
  <w:font w:name="Mohammad Bold Normal">
    <w:charset w:val="B2"/>
    <w:family w:val="auto"/>
    <w:pitch w:val="variable"/>
    <w:sig w:usb0="00002001" w:usb1="00000000" w:usb2="00000000" w:usb3="00000000" w:csb0="00000040" w:csb1="00000000"/>
    <w:embedRegular r:id="rId19" w:fontKey="{4981E534-E92F-49E3-B90A-417EB2FEBC7A}"/>
  </w:font>
  <w:font w:name="Calibri Light">
    <w:panose1 w:val="020F0302020204030204"/>
    <w:charset w:val="00"/>
    <w:family w:val="swiss"/>
    <w:pitch w:val="variable"/>
    <w:sig w:usb0="A00002EF" w:usb1="4000207B" w:usb2="00000000" w:usb3="00000000" w:csb0="0000019F" w:csb1="00000000"/>
    <w:embedRegular r:id="rId20" w:fontKey="{D74A3E38-9352-4B43-930D-796E4B68BE4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08F" w:rsidRDefault="00D7008F" w:rsidP="00E32771">
      <w:pPr>
        <w:spacing w:after="0" w:line="240" w:lineRule="auto"/>
      </w:pPr>
      <w:r>
        <w:separator/>
      </w:r>
    </w:p>
  </w:footnote>
  <w:footnote w:type="continuationSeparator" w:id="0">
    <w:p w:rsidR="00D7008F" w:rsidRDefault="00D7008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D7008F"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Text Box 2">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406521"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406521" w:rsidRPr="00C36BA4">
                    <w:rPr>
                      <w:rFonts w:asciiTheme="majorBidi" w:hAnsiTheme="majorBidi" w:cstheme="majorBidi"/>
                      <w:color w:val="006666"/>
                      <w:sz w:val="26"/>
                      <w:szCs w:val="26"/>
                      <w:lang w:bidi="ar-EG"/>
                    </w:rPr>
                    <w:fldChar w:fldCharType="separate"/>
                  </w:r>
                  <w:r w:rsidR="00657D30">
                    <w:rPr>
                      <w:rFonts w:asciiTheme="majorBidi" w:hAnsiTheme="majorBidi" w:cstheme="majorBidi"/>
                      <w:noProof/>
                      <w:color w:val="006666"/>
                      <w:sz w:val="26"/>
                      <w:szCs w:val="26"/>
                      <w:lang w:bidi="ar-EG"/>
                    </w:rPr>
                    <w:t>6</w:t>
                  </w:r>
                  <w:r w:rsidR="00406521"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D7008F">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D7008F">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A53B5"/>
    <w:rsid w:val="000A6307"/>
    <w:rsid w:val="000C2B16"/>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C4329"/>
    <w:rsid w:val="003011B2"/>
    <w:rsid w:val="003064F5"/>
    <w:rsid w:val="003072B2"/>
    <w:rsid w:val="00316388"/>
    <w:rsid w:val="00317B3C"/>
    <w:rsid w:val="003238D3"/>
    <w:rsid w:val="00341C5F"/>
    <w:rsid w:val="00347608"/>
    <w:rsid w:val="003764D3"/>
    <w:rsid w:val="003831F3"/>
    <w:rsid w:val="003A526E"/>
    <w:rsid w:val="003E1AC6"/>
    <w:rsid w:val="003E25F0"/>
    <w:rsid w:val="003F2533"/>
    <w:rsid w:val="004029D8"/>
    <w:rsid w:val="00406521"/>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A272C"/>
    <w:rsid w:val="005B2F9C"/>
    <w:rsid w:val="005D7B02"/>
    <w:rsid w:val="005E1A2C"/>
    <w:rsid w:val="00611298"/>
    <w:rsid w:val="0061181D"/>
    <w:rsid w:val="00631E7F"/>
    <w:rsid w:val="006448DE"/>
    <w:rsid w:val="00657D30"/>
    <w:rsid w:val="00662A2B"/>
    <w:rsid w:val="00672146"/>
    <w:rsid w:val="00676E18"/>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7097"/>
    <w:rsid w:val="009967F9"/>
    <w:rsid w:val="009C34D2"/>
    <w:rsid w:val="009C7996"/>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4C2B"/>
    <w:rsid w:val="00D26E72"/>
    <w:rsid w:val="00D32407"/>
    <w:rsid w:val="00D32F3E"/>
    <w:rsid w:val="00D40688"/>
    <w:rsid w:val="00D46176"/>
    <w:rsid w:val="00D53839"/>
    <w:rsid w:val="00D7008F"/>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D4864864-ACFB-4AEB-8B3C-321BD0358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D24C2B"/>
    <w:rPr>
      <w:color w:val="0563C1" w:themeColor="hyperlink"/>
      <w:u w:val="single"/>
    </w:rPr>
  </w:style>
  <w:style w:type="paragraph" w:customStyle="1" w:styleId="list-group-item-text">
    <w:name w:val="list-group-item-text"/>
    <w:basedOn w:val="Normal"/>
    <w:rsid w:val="00D24C2B"/>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D24C2B"/>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1286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89152-51EB-4970-8F1C-B067E077D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1333</Words>
  <Characters>1401</Characters>
  <Application>Microsoft Office Word</Application>
  <DocSecurity>0</DocSecurity>
  <Lines>82</Lines>
  <Paragraphs>34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2700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圣门弟子等学者的话什么时候可以成为教法证据</dc:title>
  <dc:subject>圣门弟子等学者的话什么时候可以成为教法证据</dc:subject>
  <dc:creator>伊斯兰问答网站</dc:creator>
  <cp:keywords>圣门弟子等学者的话什么时候可以成为教法证据</cp:keywords>
  <dc:description>圣门弟子等学者的话什么时候可以成为教法证据</dc:description>
  <cp:lastModifiedBy>elhashemy</cp:lastModifiedBy>
  <cp:revision>3</cp:revision>
  <cp:lastPrinted>2015-03-07T18:49:00Z</cp:lastPrinted>
  <dcterms:created xsi:type="dcterms:W3CDTF">2015-05-09T02:53:00Z</dcterms:created>
  <dcterms:modified xsi:type="dcterms:W3CDTF">2015-05-24T18:14:00Z</dcterms:modified>
  <cp:category/>
</cp:coreProperties>
</file>