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5" w:rsidRDefault="008767E2"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r w:rsidRPr="003B55D3">
                    <w:rPr>
                      <w:rFonts w:hint="eastAsia"/>
                      <w:i/>
                      <w:iCs/>
                      <w:sz w:val="32"/>
                      <w:szCs w:val="32"/>
                      <w:u w:val="single"/>
                    </w:rPr>
                    <w:t>教法判例</w:t>
                  </w:r>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274430" w:rsidRDefault="00C5727C" w:rsidP="007B587A">
      <w:pPr>
        <w:bidi w:val="0"/>
        <w:spacing w:beforeLines="50" w:before="120"/>
        <w:jc w:val="center"/>
        <w:rPr>
          <w:rFonts w:ascii="SimSun" w:hAnsi="SimSun" w:cs="SimSun"/>
          <w:b/>
          <w:bCs/>
          <w:color w:val="1F497D" w:themeColor="text2"/>
          <w:sz w:val="48"/>
          <w:szCs w:val="48"/>
          <w:lang w:eastAsia="zh-CN"/>
        </w:rPr>
      </w:pPr>
      <w:r w:rsidRPr="00C5727C">
        <w:rPr>
          <w:rFonts w:ascii="SimSun" w:hAnsi="SimSun" w:cs="SimSun" w:hint="eastAsia"/>
          <w:b/>
          <w:bCs/>
          <w:color w:val="1F497D" w:themeColor="text2"/>
          <w:sz w:val="48"/>
          <w:szCs w:val="48"/>
          <w:lang w:eastAsia="zh-CN"/>
        </w:rPr>
        <w:t>诚实的重要性。</w:t>
      </w:r>
    </w:p>
    <w:p w:rsidR="00EB6455" w:rsidRDefault="00EB6455" w:rsidP="00274430">
      <w:pPr>
        <w:bidi w:val="0"/>
        <w:spacing w:beforeLines="50" w:before="12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before="12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C5727C" w:rsidRPr="00C5727C" w:rsidRDefault="00C5727C" w:rsidP="00C5727C">
      <w:pPr>
        <w:pStyle w:val="Heading4"/>
        <w:shd w:val="clear" w:color="auto" w:fill="FFFFFF"/>
        <w:spacing w:before="0" w:beforeAutospacing="0" w:after="82" w:afterAutospacing="0"/>
        <w:jc w:val="center"/>
        <w:rPr>
          <w:rFonts w:ascii="inherit" w:hAnsi="inherit"/>
          <w:color w:val="1F497D" w:themeColor="text2"/>
          <w:sz w:val="48"/>
          <w:szCs w:val="48"/>
        </w:rPr>
      </w:pPr>
      <w:r w:rsidRPr="00C5727C">
        <w:rPr>
          <w:rFonts w:ascii="inherit" w:hAnsi="inherit"/>
          <w:color w:val="1F497D" w:themeColor="text2"/>
          <w:sz w:val="48"/>
          <w:szCs w:val="48"/>
          <w:rtl/>
        </w:rPr>
        <w:t>أهمية الصدق</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2252DC">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2252DC">
        <w:rPr>
          <w:rFonts w:ascii="MS UI Gothic" w:eastAsiaTheme="minorEastAsia" w:hAnsi="MS UI Gothic" w:cs="Times New Roman"/>
          <w:b/>
          <w:bCs/>
          <w:sz w:val="36"/>
          <w:lang w:eastAsia="zh-CN"/>
        </w:rPr>
        <w:t>5</w:t>
      </w:r>
      <w:bookmarkStart w:id="0" w:name="_GoBack"/>
      <w:bookmarkEnd w:id="0"/>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2252DC">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Default="00A60587">
      <w:pPr>
        <w:bidi w:val="0"/>
        <w:rPr>
          <w:rFonts w:ascii="Calibri" w:hAnsi="Calibri" w:cs="KFGQPC Uthman Taha Naskh"/>
          <w:b/>
          <w:bCs/>
          <w:color w:val="800000"/>
          <w:sz w:val="40"/>
          <w:szCs w:val="40"/>
          <w:rtl/>
          <w:lang w:eastAsia="zh-CN"/>
        </w:rPr>
      </w:pPr>
      <w:r>
        <w:rPr>
          <w:rFonts w:ascii="Calibri" w:hAnsi="Calibri" w:cs="KFGQPC Uthman Taha Naskh"/>
          <w:b/>
          <w:bCs/>
          <w:color w:val="800000"/>
          <w:sz w:val="40"/>
          <w:szCs w:val="40"/>
          <w:rtl/>
          <w:lang w:eastAsia="zh-CN"/>
        </w:rPr>
        <w:br w:type="page"/>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before="120" w:afterLines="50" w:after="12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C5727C" w:rsidRDefault="00A60587" w:rsidP="00C5727C">
      <w:pPr>
        <w:bidi w:val="0"/>
        <w:spacing w:beforeLines="50" w:before="120" w:afterLines="50" w:after="120" w:line="460" w:lineRule="exact"/>
        <w:jc w:val="center"/>
        <w:rPr>
          <w:rFonts w:ascii="STXingkai" w:eastAsia="STXingkai" w:hAnsi="Calibri" w:cs="KFGQPC Uthman Taha Naskh"/>
          <w:color w:val="auto"/>
          <w:sz w:val="36"/>
          <w:lang w:eastAsia="zh-CN"/>
        </w:rPr>
      </w:pPr>
    </w:p>
    <w:p w:rsidR="00C5727C" w:rsidRPr="00C5727C" w:rsidRDefault="00C5727C" w:rsidP="00C5727C">
      <w:pPr>
        <w:shd w:val="clear" w:color="auto" w:fill="FFFFFF"/>
        <w:bidi w:val="0"/>
        <w:spacing w:after="82"/>
        <w:jc w:val="center"/>
        <w:outlineLvl w:val="3"/>
        <w:rPr>
          <w:rFonts w:ascii="inherit" w:hAnsi="inherit" w:cs="Tahoma" w:hint="eastAsia"/>
          <w:b/>
          <w:bCs/>
          <w:color w:val="auto"/>
          <w:sz w:val="36"/>
          <w:lang w:eastAsia="zh-CN"/>
        </w:rPr>
      </w:pPr>
      <w:r w:rsidRPr="00C5727C">
        <w:rPr>
          <w:rFonts w:ascii="inherit" w:hAnsi="inherit" w:cs="Tahoma"/>
          <w:b/>
          <w:bCs/>
          <w:color w:val="auto"/>
          <w:sz w:val="36"/>
          <w:lang w:eastAsia="zh-CN"/>
        </w:rPr>
        <w:t>诚实的重要性。</w:t>
      </w:r>
    </w:p>
    <w:p w:rsidR="00C5727C" w:rsidRPr="00C5727C" w:rsidRDefault="00C5727C" w:rsidP="00C5727C">
      <w:pPr>
        <w:shd w:val="clear" w:color="auto" w:fill="FFFFFF"/>
        <w:bidi w:val="0"/>
        <w:spacing w:before="327" w:after="327" w:line="327" w:lineRule="atLeast"/>
        <w:rPr>
          <w:rFonts w:ascii="Tahoma" w:hAnsi="Tahoma" w:cs="Tahoma"/>
          <w:color w:val="auto"/>
          <w:sz w:val="36"/>
        </w:rPr>
      </w:pPr>
    </w:p>
    <w:p w:rsidR="00C5727C" w:rsidRDefault="00C5727C" w:rsidP="00C5727C">
      <w:pPr>
        <w:shd w:val="clear" w:color="auto" w:fill="FFFFFF"/>
        <w:bidi w:val="0"/>
        <w:spacing w:line="480" w:lineRule="auto"/>
        <w:rPr>
          <w:rFonts w:ascii="Tahoma" w:hAnsi="Tahoma" w:cs="Tahoma"/>
          <w:b/>
          <w:bCs/>
          <w:color w:val="FF0000"/>
          <w:sz w:val="36"/>
          <w:lang w:eastAsia="zh-CN"/>
        </w:rPr>
      </w:pPr>
      <w:r>
        <w:rPr>
          <w:rFonts w:ascii="Tahoma" w:hAnsi="Tahoma" w:cs="Tahoma" w:hint="eastAsia"/>
          <w:b/>
          <w:bCs/>
          <w:color w:val="FF0000"/>
          <w:sz w:val="36"/>
          <w:lang w:eastAsia="zh-CN"/>
        </w:rPr>
        <w:t>问：</w:t>
      </w:r>
      <w:r w:rsidRPr="00C5727C">
        <w:rPr>
          <w:rFonts w:ascii="Tahoma" w:hAnsi="Tahoma" w:cs="Tahoma"/>
          <w:b/>
          <w:bCs/>
          <w:color w:val="FF0000"/>
          <w:sz w:val="36"/>
          <w:lang w:eastAsia="zh-CN"/>
        </w:rPr>
        <w:t>在人际交往中以及工作业务往来中，伊斯兰如何</w:t>
      </w:r>
    </w:p>
    <w:p w:rsidR="00C5727C" w:rsidRDefault="00C5727C" w:rsidP="00C5727C">
      <w:pPr>
        <w:shd w:val="clear" w:color="auto" w:fill="FFFFFF"/>
        <w:bidi w:val="0"/>
        <w:spacing w:line="480" w:lineRule="auto"/>
        <w:ind w:firstLineChars="196" w:firstLine="708"/>
        <w:rPr>
          <w:rFonts w:ascii="Tahoma" w:hAnsi="Tahoma" w:cs="Tahoma"/>
          <w:b/>
          <w:bCs/>
          <w:color w:val="FF0000"/>
          <w:sz w:val="36"/>
          <w:lang w:eastAsia="zh-CN"/>
        </w:rPr>
      </w:pPr>
      <w:r w:rsidRPr="00C5727C">
        <w:rPr>
          <w:rFonts w:ascii="Tahoma" w:hAnsi="Tahoma" w:cs="Tahoma"/>
          <w:b/>
          <w:bCs/>
          <w:color w:val="FF0000"/>
          <w:sz w:val="36"/>
          <w:lang w:eastAsia="zh-CN"/>
        </w:rPr>
        <w:t>看待诚实的重要性？是否在某些特定的环境下存</w:t>
      </w:r>
    </w:p>
    <w:p w:rsidR="00C5727C" w:rsidRPr="00C5727C" w:rsidRDefault="00C5727C" w:rsidP="00C5727C">
      <w:pPr>
        <w:shd w:val="clear" w:color="auto" w:fill="FFFFFF"/>
        <w:bidi w:val="0"/>
        <w:spacing w:line="480" w:lineRule="auto"/>
        <w:ind w:firstLineChars="196" w:firstLine="708"/>
        <w:rPr>
          <w:rFonts w:ascii="Tahoma" w:hAnsi="Tahoma" w:cs="Tahoma"/>
          <w:b/>
          <w:bCs/>
          <w:color w:val="FF0000"/>
          <w:sz w:val="36"/>
          <w:lang w:eastAsia="zh-CN"/>
        </w:rPr>
      </w:pPr>
      <w:r w:rsidRPr="00C5727C">
        <w:rPr>
          <w:rFonts w:ascii="Tahoma" w:hAnsi="Tahoma" w:cs="Tahoma"/>
          <w:b/>
          <w:bCs/>
          <w:color w:val="FF0000"/>
          <w:sz w:val="36"/>
          <w:lang w:eastAsia="zh-CN"/>
        </w:rPr>
        <w:t>在</w:t>
      </w:r>
      <w:r w:rsidRPr="00C5727C">
        <w:rPr>
          <w:rFonts w:ascii="Tahoma" w:hAnsi="Tahoma" w:cs="Tahoma"/>
          <w:b/>
          <w:bCs/>
          <w:color w:val="FF0000"/>
          <w:sz w:val="36"/>
          <w:lang w:eastAsia="zh-CN"/>
        </w:rPr>
        <w:t>“</w:t>
      </w:r>
      <w:r w:rsidRPr="00C5727C">
        <w:rPr>
          <w:rFonts w:ascii="Tahoma" w:hAnsi="Tahoma" w:cs="Tahoma"/>
          <w:b/>
          <w:bCs/>
          <w:color w:val="FF0000"/>
          <w:sz w:val="36"/>
          <w:lang w:eastAsia="zh-CN"/>
        </w:rPr>
        <w:t>被允许的谎言</w:t>
      </w:r>
      <w:r w:rsidRPr="00C5727C">
        <w:rPr>
          <w:rFonts w:ascii="Tahoma" w:hAnsi="Tahoma" w:cs="Tahoma"/>
          <w:b/>
          <w:bCs/>
          <w:color w:val="FF0000"/>
          <w:sz w:val="36"/>
          <w:lang w:eastAsia="zh-CN"/>
        </w:rPr>
        <w:t>”</w:t>
      </w:r>
      <w:r w:rsidRPr="00C5727C">
        <w:rPr>
          <w:rFonts w:ascii="Tahoma" w:hAnsi="Tahoma" w:cs="Tahoma"/>
          <w:b/>
          <w:bCs/>
          <w:color w:val="FF0000"/>
          <w:sz w:val="36"/>
          <w:lang w:eastAsia="zh-CN"/>
        </w:rPr>
        <w:t>？</w:t>
      </w:r>
    </w:p>
    <w:p w:rsidR="00C5727C" w:rsidRPr="00C5727C" w:rsidRDefault="00C5727C" w:rsidP="00C5727C">
      <w:pPr>
        <w:shd w:val="clear" w:color="auto" w:fill="FFFFFF"/>
        <w:bidi w:val="0"/>
        <w:spacing w:after="164" w:line="480" w:lineRule="auto"/>
        <w:rPr>
          <w:rFonts w:ascii="Tahoma" w:hAnsi="Tahoma" w:cs="Tahoma"/>
          <w:color w:val="auto"/>
          <w:sz w:val="36"/>
          <w:lang w:eastAsia="zh-CN"/>
        </w:rPr>
      </w:pPr>
      <w:r>
        <w:rPr>
          <w:rFonts w:ascii="Tahoma" w:hAnsi="Tahoma" w:cs="Tahoma" w:hint="eastAsia"/>
          <w:color w:val="auto"/>
          <w:sz w:val="36"/>
          <w:lang w:eastAsia="zh-CN"/>
        </w:rPr>
        <w:t>答：</w:t>
      </w:r>
      <w:r w:rsidRPr="00C5727C">
        <w:rPr>
          <w:rFonts w:ascii="Tahoma" w:hAnsi="Tahoma" w:cs="Tahoma"/>
          <w:color w:val="auto"/>
          <w:sz w:val="36"/>
          <w:lang w:eastAsia="zh-CN"/>
        </w:rPr>
        <w:t>一切赞颂全归安拉。</w:t>
      </w:r>
    </w:p>
    <w:p w:rsidR="00C5727C" w:rsidRPr="00C5727C" w:rsidRDefault="00C5727C" w:rsidP="00C5727C">
      <w:pPr>
        <w:shd w:val="clear" w:color="auto" w:fill="FFFFFF"/>
        <w:bidi w:val="0"/>
        <w:spacing w:after="164" w:line="480" w:lineRule="auto"/>
        <w:ind w:firstLineChars="200" w:firstLine="720"/>
        <w:rPr>
          <w:rFonts w:ascii="Tahoma" w:hAnsi="Tahoma" w:cs="Tahoma"/>
          <w:color w:val="auto"/>
          <w:sz w:val="36"/>
          <w:lang w:eastAsia="zh-CN"/>
        </w:rPr>
      </w:pPr>
      <w:r w:rsidRPr="00C5727C">
        <w:rPr>
          <w:rFonts w:ascii="Tahoma" w:hAnsi="Tahoma" w:cs="Tahoma"/>
          <w:color w:val="auto"/>
          <w:sz w:val="36"/>
          <w:lang w:eastAsia="zh-CN"/>
        </w:rPr>
        <w:t>诚实是指：口中所言与心中所想达成一致。它在阿拉伯语中还指：言语与事实相符。</w:t>
      </w:r>
    </w:p>
    <w:p w:rsidR="00C5727C" w:rsidRPr="00C5727C" w:rsidRDefault="00C5727C" w:rsidP="00C5727C">
      <w:pPr>
        <w:shd w:val="clear" w:color="auto" w:fill="FFFFFF"/>
        <w:bidi w:val="0"/>
        <w:spacing w:after="164" w:line="480" w:lineRule="auto"/>
        <w:ind w:firstLineChars="200" w:firstLine="720"/>
        <w:rPr>
          <w:rFonts w:ascii="Tahoma" w:hAnsi="Tahoma" w:cs="Tahoma"/>
          <w:color w:val="auto"/>
          <w:sz w:val="36"/>
          <w:lang w:eastAsia="zh-CN"/>
        </w:rPr>
      </w:pPr>
      <w:r w:rsidRPr="00C5727C">
        <w:rPr>
          <w:rFonts w:ascii="Tahoma" w:hAnsi="Tahoma" w:cs="Tahoma"/>
          <w:color w:val="auto"/>
          <w:sz w:val="36"/>
          <w:lang w:eastAsia="zh-CN"/>
        </w:rPr>
        <w:t>正因为诚实是人类社会的必需品，它是一件具有巨大利益的美德；谎言是导致人类社会衰败的因素，割断人类社会关系纽带的刽子手，是具有巨大伤害性的恶劣行径，所以，伊斯兰命人诚实，禁止谎言。</w:t>
      </w:r>
    </w:p>
    <w:p w:rsidR="00C5727C" w:rsidRPr="00C5727C" w:rsidRDefault="00C5727C" w:rsidP="00C5727C">
      <w:pPr>
        <w:shd w:val="clear" w:color="auto" w:fill="FFFFFF"/>
        <w:bidi w:val="0"/>
        <w:spacing w:after="164" w:line="480" w:lineRule="auto"/>
        <w:rPr>
          <w:rFonts w:ascii="Tahoma" w:hAnsi="Tahoma" w:cs="Tahoma"/>
          <w:color w:val="auto"/>
          <w:sz w:val="36"/>
          <w:lang w:eastAsia="zh-CN"/>
        </w:rPr>
      </w:pPr>
      <w:r w:rsidRPr="00C5727C">
        <w:rPr>
          <w:rFonts w:ascii="Tahoma" w:hAnsi="Tahoma" w:cs="Tahoma"/>
          <w:color w:val="auto"/>
          <w:sz w:val="36"/>
          <w:lang w:eastAsia="zh-CN"/>
        </w:rPr>
        <w:lastRenderedPageBreak/>
        <w:t>崇高的安拉说：（归信的人们啊，你们当敬畏安拉，你们当与诚实的人同道。）伊本凯西尔（愿主慈悯他）在他的经注里（</w:t>
      </w:r>
      <w:r w:rsidRPr="00C5727C">
        <w:rPr>
          <w:rFonts w:ascii="Tahoma" w:hAnsi="Tahoma" w:cs="Tahoma"/>
          <w:color w:val="auto"/>
          <w:sz w:val="36"/>
          <w:lang w:eastAsia="zh-CN"/>
        </w:rPr>
        <w:t>2/414</w:t>
      </w:r>
      <w:r w:rsidRPr="00C5727C">
        <w:rPr>
          <w:rFonts w:ascii="Tahoma" w:hAnsi="Tahoma" w:cs="Tahoma"/>
          <w:color w:val="auto"/>
          <w:sz w:val="36"/>
          <w:lang w:eastAsia="zh-CN"/>
        </w:rPr>
        <w:t>）说：这节经文的意思是：你们应当坚守诚实，做一个诚实的人，你们就能脱离种种灾难，安拉就会在你们的事物当中为你们解除困难，打开出路。</w:t>
      </w:r>
    </w:p>
    <w:p w:rsidR="00C5727C" w:rsidRPr="00C5727C" w:rsidRDefault="00C5727C" w:rsidP="00C5727C">
      <w:pPr>
        <w:shd w:val="clear" w:color="auto" w:fill="FFFFFF"/>
        <w:bidi w:val="0"/>
        <w:spacing w:after="164" w:line="480" w:lineRule="auto"/>
        <w:rPr>
          <w:rFonts w:ascii="Tahoma" w:hAnsi="Tahoma" w:cs="Tahoma"/>
          <w:color w:val="auto"/>
          <w:sz w:val="36"/>
          <w:lang w:eastAsia="zh-CN"/>
        </w:rPr>
      </w:pPr>
      <w:r w:rsidRPr="00C5727C">
        <w:rPr>
          <w:rFonts w:ascii="Tahoma" w:hAnsi="Tahoma" w:cs="Tahoma"/>
          <w:color w:val="auto"/>
          <w:sz w:val="36"/>
          <w:lang w:eastAsia="zh-CN"/>
        </w:rPr>
        <w:t>超绝万物的安拉说（假若他们忠实于安拉，那对他们是更好的。）</w:t>
      </w:r>
    </w:p>
    <w:p w:rsidR="00C5727C" w:rsidRPr="00C5727C" w:rsidRDefault="00C5727C" w:rsidP="00C5727C">
      <w:pPr>
        <w:shd w:val="clear" w:color="auto" w:fill="FFFFFF"/>
        <w:bidi w:val="0"/>
        <w:spacing w:after="164" w:line="480" w:lineRule="auto"/>
        <w:ind w:firstLineChars="250" w:firstLine="900"/>
        <w:rPr>
          <w:rFonts w:ascii="Tahoma" w:hAnsi="Tahoma" w:cs="Tahoma"/>
          <w:color w:val="auto"/>
          <w:sz w:val="36"/>
          <w:lang w:eastAsia="zh-CN"/>
        </w:rPr>
      </w:pPr>
      <w:r w:rsidRPr="00C5727C">
        <w:rPr>
          <w:rFonts w:ascii="Tahoma" w:hAnsi="Tahoma" w:cs="Tahoma"/>
          <w:color w:val="auto"/>
          <w:sz w:val="36"/>
          <w:lang w:eastAsia="zh-CN"/>
        </w:rPr>
        <w:t>由阿卜杜拉</w:t>
      </w:r>
      <w:r w:rsidRPr="00C5727C">
        <w:rPr>
          <w:rFonts w:ascii="Tahoma" w:hAnsi="Tahoma" w:cs="Tahoma"/>
          <w:color w:val="auto"/>
          <w:sz w:val="36"/>
          <w:lang w:eastAsia="zh-CN"/>
        </w:rPr>
        <w:t>·</w:t>
      </w:r>
      <w:r w:rsidRPr="00C5727C">
        <w:rPr>
          <w:rFonts w:ascii="Tahoma" w:hAnsi="Tahoma" w:cs="Tahoma"/>
          <w:color w:val="auto"/>
          <w:sz w:val="36"/>
          <w:lang w:eastAsia="zh-CN"/>
        </w:rPr>
        <w:t>本</w:t>
      </w:r>
      <w:r w:rsidRPr="00C5727C">
        <w:rPr>
          <w:rFonts w:ascii="Tahoma" w:hAnsi="Tahoma" w:cs="Tahoma"/>
          <w:color w:val="auto"/>
          <w:sz w:val="36"/>
          <w:lang w:eastAsia="zh-CN"/>
        </w:rPr>
        <w:t>·</w:t>
      </w:r>
      <w:r w:rsidRPr="00C5727C">
        <w:rPr>
          <w:rFonts w:ascii="Tahoma" w:hAnsi="Tahoma" w:cs="Tahoma"/>
          <w:color w:val="auto"/>
          <w:sz w:val="36"/>
          <w:lang w:eastAsia="zh-CN"/>
        </w:rPr>
        <w:t>麦斯欧德传述，安拉的使者说：</w:t>
      </w:r>
      <w:r w:rsidRPr="00C5727C">
        <w:rPr>
          <w:rFonts w:ascii="Tahoma" w:hAnsi="Tahoma" w:cs="Tahoma"/>
          <w:color w:val="auto"/>
          <w:sz w:val="36"/>
          <w:lang w:eastAsia="zh-CN"/>
        </w:rPr>
        <w:t>“</w:t>
      </w:r>
      <w:r w:rsidRPr="00C5727C">
        <w:rPr>
          <w:rFonts w:ascii="Tahoma" w:hAnsi="Tahoma" w:cs="Tahoma"/>
          <w:color w:val="auto"/>
          <w:sz w:val="36"/>
          <w:lang w:eastAsia="zh-CN"/>
        </w:rPr>
        <w:t>你们要坚守诚实，诚实确能导人至恭顺，恭顺能导人至天堂，一个人当努力地保持诚实，以便使安拉将他列在忠实者的行列；你们当远离谎言，谎言确能引人于放荡，放荡导致人坠入火狱。一个人善于谎言且不无悔改，终于安拉把他列在骗子的行列。</w:t>
      </w:r>
      <w:r w:rsidRPr="00C5727C">
        <w:rPr>
          <w:rFonts w:ascii="Tahoma" w:hAnsi="Tahoma" w:cs="Tahoma"/>
          <w:color w:val="auto"/>
          <w:sz w:val="36"/>
          <w:lang w:eastAsia="zh-CN"/>
        </w:rPr>
        <w:t xml:space="preserve">”  </w:t>
      </w:r>
      <w:r w:rsidRPr="00C5727C">
        <w:rPr>
          <w:rFonts w:ascii="Tahoma" w:hAnsi="Tahoma" w:cs="Tahoma"/>
          <w:color w:val="auto"/>
          <w:sz w:val="36"/>
          <w:lang w:eastAsia="zh-CN"/>
        </w:rPr>
        <w:t>穆斯林圣训（</w:t>
      </w:r>
      <w:r w:rsidRPr="00C5727C">
        <w:rPr>
          <w:rFonts w:ascii="Tahoma" w:hAnsi="Tahoma" w:cs="Tahoma"/>
          <w:color w:val="auto"/>
          <w:sz w:val="36"/>
          <w:lang w:eastAsia="zh-CN"/>
        </w:rPr>
        <w:t>4721</w:t>
      </w:r>
      <w:r w:rsidRPr="00C5727C">
        <w:rPr>
          <w:rFonts w:ascii="Tahoma" w:hAnsi="Tahoma" w:cs="Tahoma"/>
          <w:color w:val="auto"/>
          <w:sz w:val="36"/>
          <w:lang w:eastAsia="zh-CN"/>
        </w:rPr>
        <w:t>）</w:t>
      </w:r>
    </w:p>
    <w:p w:rsidR="00C5727C" w:rsidRPr="00C5727C" w:rsidRDefault="00C5727C" w:rsidP="00C5727C">
      <w:pPr>
        <w:shd w:val="clear" w:color="auto" w:fill="FFFFFF"/>
        <w:bidi w:val="0"/>
        <w:spacing w:after="164" w:line="480" w:lineRule="auto"/>
        <w:ind w:firstLineChars="200" w:firstLine="720"/>
        <w:rPr>
          <w:rFonts w:ascii="Tahoma" w:hAnsi="Tahoma" w:cs="Tahoma"/>
          <w:color w:val="auto"/>
          <w:sz w:val="36"/>
          <w:lang w:eastAsia="zh-CN"/>
        </w:rPr>
      </w:pPr>
      <w:r w:rsidRPr="00C5727C">
        <w:rPr>
          <w:rFonts w:ascii="Tahoma" w:hAnsi="Tahoma" w:cs="Tahoma"/>
          <w:color w:val="auto"/>
          <w:sz w:val="36"/>
          <w:lang w:eastAsia="zh-CN"/>
        </w:rPr>
        <w:lastRenderedPageBreak/>
        <w:t>这段圣训证明，诚实导人达到恭顺。恭顺是一个泛指的词，它包括了各种形式、各个方面的善行，放荡它的根源是偏离正路，背离真理，放荡的人是那步入歧途的人。因此，放荡和恭顺的意义截然相反。</w:t>
      </w:r>
    </w:p>
    <w:p w:rsidR="00C5727C" w:rsidRPr="00C5727C" w:rsidRDefault="00C5727C" w:rsidP="00C5727C">
      <w:pPr>
        <w:shd w:val="clear" w:color="auto" w:fill="FFFFFF"/>
        <w:bidi w:val="0"/>
        <w:spacing w:after="164" w:line="480" w:lineRule="auto"/>
        <w:ind w:firstLineChars="200" w:firstLine="720"/>
        <w:rPr>
          <w:rFonts w:ascii="Tahoma" w:hAnsi="Tahoma" w:cs="Tahoma"/>
          <w:color w:val="auto"/>
          <w:sz w:val="36"/>
          <w:lang w:eastAsia="zh-CN"/>
        </w:rPr>
      </w:pPr>
      <w:r w:rsidRPr="00C5727C">
        <w:rPr>
          <w:rFonts w:ascii="Tahoma" w:hAnsi="Tahoma" w:cs="Tahoma"/>
          <w:color w:val="auto"/>
          <w:sz w:val="36"/>
          <w:lang w:eastAsia="zh-CN"/>
        </w:rPr>
        <w:t>由哈桑</w:t>
      </w:r>
      <w:r w:rsidRPr="00C5727C">
        <w:rPr>
          <w:rFonts w:ascii="Tahoma" w:hAnsi="Tahoma" w:cs="Tahoma"/>
          <w:color w:val="auto"/>
          <w:sz w:val="36"/>
          <w:lang w:eastAsia="zh-CN"/>
        </w:rPr>
        <w:t>·</w:t>
      </w:r>
      <w:r w:rsidRPr="00C5727C">
        <w:rPr>
          <w:rFonts w:ascii="Tahoma" w:hAnsi="Tahoma" w:cs="Tahoma"/>
          <w:color w:val="auto"/>
          <w:sz w:val="36"/>
          <w:lang w:eastAsia="zh-CN"/>
        </w:rPr>
        <w:t>本</w:t>
      </w:r>
      <w:r w:rsidRPr="00C5727C">
        <w:rPr>
          <w:rFonts w:ascii="Tahoma" w:hAnsi="Tahoma" w:cs="Tahoma"/>
          <w:color w:val="auto"/>
          <w:sz w:val="36"/>
          <w:lang w:eastAsia="zh-CN"/>
        </w:rPr>
        <w:t>·</w:t>
      </w:r>
      <w:r w:rsidRPr="00C5727C">
        <w:rPr>
          <w:rFonts w:ascii="Tahoma" w:hAnsi="Tahoma" w:cs="Tahoma"/>
          <w:color w:val="auto"/>
          <w:sz w:val="36"/>
          <w:lang w:eastAsia="zh-CN"/>
        </w:rPr>
        <w:t>阿里</w:t>
      </w:r>
      <w:r w:rsidRPr="00C5727C">
        <w:rPr>
          <w:rFonts w:ascii="Tahoma" w:hAnsi="Tahoma" w:cs="Tahoma"/>
          <w:color w:val="auto"/>
          <w:sz w:val="36"/>
          <w:lang w:eastAsia="zh-CN"/>
        </w:rPr>
        <w:t>·</w:t>
      </w:r>
      <w:r w:rsidRPr="00C5727C">
        <w:rPr>
          <w:rFonts w:ascii="Tahoma" w:hAnsi="Tahoma" w:cs="Tahoma"/>
          <w:color w:val="auto"/>
          <w:sz w:val="36"/>
          <w:lang w:eastAsia="zh-CN"/>
        </w:rPr>
        <w:t>本</w:t>
      </w:r>
      <w:r w:rsidRPr="00C5727C">
        <w:rPr>
          <w:rFonts w:ascii="Tahoma" w:hAnsi="Tahoma" w:cs="Tahoma"/>
          <w:color w:val="auto"/>
          <w:sz w:val="36"/>
          <w:lang w:eastAsia="zh-CN"/>
        </w:rPr>
        <w:t>·</w:t>
      </w:r>
      <w:r w:rsidRPr="00C5727C">
        <w:rPr>
          <w:rFonts w:ascii="Tahoma" w:hAnsi="Tahoma" w:cs="Tahoma"/>
          <w:color w:val="auto"/>
          <w:sz w:val="36"/>
          <w:lang w:eastAsia="zh-CN"/>
        </w:rPr>
        <w:t>艾布塔利布（愿安拉喜爱他俩）的传述，他说：我记住了安拉的使者（安拉的称赞、祝福与平安属于他）曾说：</w:t>
      </w:r>
      <w:r w:rsidRPr="00C5727C">
        <w:rPr>
          <w:rFonts w:ascii="Tahoma" w:hAnsi="Tahoma" w:cs="Tahoma"/>
          <w:color w:val="auto"/>
          <w:sz w:val="36"/>
          <w:lang w:eastAsia="zh-CN"/>
        </w:rPr>
        <w:t>“</w:t>
      </w:r>
      <w:r w:rsidRPr="00C5727C">
        <w:rPr>
          <w:rFonts w:ascii="Tahoma" w:hAnsi="Tahoma" w:cs="Tahoma"/>
          <w:color w:val="auto"/>
          <w:sz w:val="36"/>
          <w:lang w:eastAsia="zh-CN"/>
        </w:rPr>
        <w:t>放弃使你不安的事情，而做你安心的事情。诚实确是安定，而谎言是忐忑不安。</w:t>
      </w:r>
      <w:r w:rsidRPr="00C5727C">
        <w:rPr>
          <w:rFonts w:ascii="Tahoma" w:hAnsi="Tahoma" w:cs="Tahoma"/>
          <w:color w:val="auto"/>
          <w:sz w:val="36"/>
          <w:lang w:eastAsia="zh-CN"/>
        </w:rPr>
        <w:t xml:space="preserve">” </w:t>
      </w:r>
      <w:r w:rsidRPr="00C5727C">
        <w:rPr>
          <w:rFonts w:ascii="Tahoma" w:hAnsi="Tahoma" w:cs="Tahoma"/>
          <w:color w:val="auto"/>
          <w:sz w:val="36"/>
          <w:lang w:eastAsia="zh-CN"/>
        </w:rPr>
        <w:t>提勒密吉圣训集（</w:t>
      </w:r>
      <w:r w:rsidRPr="00C5727C">
        <w:rPr>
          <w:rFonts w:ascii="Tahoma" w:hAnsi="Tahoma" w:cs="Tahoma"/>
          <w:color w:val="auto"/>
          <w:sz w:val="36"/>
          <w:lang w:eastAsia="zh-CN"/>
        </w:rPr>
        <w:t>2520</w:t>
      </w:r>
      <w:r w:rsidRPr="00C5727C">
        <w:rPr>
          <w:rFonts w:ascii="Tahoma" w:hAnsi="Tahoma" w:cs="Tahoma"/>
          <w:color w:val="auto"/>
          <w:sz w:val="36"/>
          <w:lang w:eastAsia="zh-CN"/>
        </w:rPr>
        <w:t>）</w:t>
      </w:r>
      <w:r w:rsidRPr="00C5727C">
        <w:rPr>
          <w:rFonts w:ascii="Tahoma" w:hAnsi="Tahoma" w:cs="Tahoma"/>
          <w:color w:val="auto"/>
          <w:sz w:val="36"/>
          <w:lang w:eastAsia="zh-CN"/>
        </w:rPr>
        <w:t xml:space="preserve"> </w:t>
      </w:r>
      <w:r w:rsidRPr="00C5727C">
        <w:rPr>
          <w:rFonts w:ascii="Tahoma" w:hAnsi="Tahoma" w:cs="Tahoma"/>
          <w:color w:val="auto"/>
          <w:sz w:val="36"/>
          <w:lang w:eastAsia="zh-CN"/>
        </w:rPr>
        <w:t>奈萨伊圣训集（</w:t>
      </w:r>
      <w:r w:rsidRPr="00C5727C">
        <w:rPr>
          <w:rFonts w:ascii="Tahoma" w:hAnsi="Tahoma" w:cs="Tahoma"/>
          <w:color w:val="auto"/>
          <w:sz w:val="36"/>
          <w:lang w:eastAsia="zh-CN"/>
        </w:rPr>
        <w:t>8/327</w:t>
      </w:r>
      <w:r w:rsidRPr="00C5727C">
        <w:rPr>
          <w:rFonts w:ascii="Tahoma" w:hAnsi="Tahoma" w:cs="Tahoma"/>
          <w:color w:val="auto"/>
          <w:sz w:val="36"/>
          <w:lang w:eastAsia="zh-CN"/>
        </w:rPr>
        <w:t>）艾哈迈德圣训集（</w:t>
      </w:r>
      <w:r w:rsidRPr="00C5727C">
        <w:rPr>
          <w:rFonts w:ascii="Tahoma" w:hAnsi="Tahoma" w:cs="Tahoma"/>
          <w:color w:val="auto"/>
          <w:sz w:val="36"/>
          <w:lang w:eastAsia="zh-CN"/>
        </w:rPr>
        <w:t>1/200</w:t>
      </w:r>
      <w:r w:rsidRPr="00C5727C">
        <w:rPr>
          <w:rFonts w:ascii="Tahoma" w:hAnsi="Tahoma" w:cs="Tahoma"/>
          <w:color w:val="auto"/>
          <w:sz w:val="36"/>
          <w:lang w:eastAsia="zh-CN"/>
        </w:rPr>
        <w:t>）。</w:t>
      </w:r>
    </w:p>
    <w:p w:rsidR="00C5727C" w:rsidRPr="00C5727C" w:rsidRDefault="00C5727C" w:rsidP="00C5727C">
      <w:pPr>
        <w:shd w:val="clear" w:color="auto" w:fill="FFFFFF"/>
        <w:bidi w:val="0"/>
        <w:spacing w:after="164" w:line="480" w:lineRule="auto"/>
        <w:ind w:firstLineChars="200" w:firstLine="720"/>
        <w:rPr>
          <w:rFonts w:ascii="Tahoma" w:hAnsi="Tahoma" w:cs="Tahoma"/>
          <w:color w:val="auto"/>
          <w:sz w:val="36"/>
          <w:lang w:eastAsia="zh-CN"/>
        </w:rPr>
      </w:pPr>
      <w:r w:rsidRPr="00C5727C">
        <w:rPr>
          <w:rFonts w:ascii="Tahoma" w:hAnsi="Tahoma" w:cs="Tahoma"/>
          <w:color w:val="auto"/>
          <w:sz w:val="36"/>
          <w:lang w:eastAsia="zh-CN"/>
        </w:rPr>
        <w:t>在由艾布苏夫扬（愿安拉喜悦他）传述的一长篇圣训中，有哈雷盖勒的故事，他说：他</w:t>
      </w:r>
      <w:r w:rsidRPr="00C5727C">
        <w:rPr>
          <w:rFonts w:ascii="Tahoma" w:hAnsi="Tahoma" w:cs="Tahoma"/>
          <w:color w:val="auto"/>
          <w:sz w:val="36"/>
          <w:lang w:eastAsia="zh-CN"/>
        </w:rPr>
        <w:t>—</w:t>
      </w:r>
      <w:r w:rsidRPr="00C5727C">
        <w:rPr>
          <w:rFonts w:ascii="Tahoma" w:hAnsi="Tahoma" w:cs="Tahoma"/>
          <w:color w:val="auto"/>
          <w:sz w:val="36"/>
          <w:lang w:eastAsia="zh-CN"/>
        </w:rPr>
        <w:t>指圣人（安拉的称赞、祝福与平安属于他）</w:t>
      </w:r>
      <w:r w:rsidRPr="00C5727C">
        <w:rPr>
          <w:rFonts w:ascii="Tahoma" w:hAnsi="Tahoma" w:cs="Tahoma"/>
          <w:color w:val="auto"/>
          <w:sz w:val="36"/>
          <w:lang w:eastAsia="zh-CN"/>
        </w:rPr>
        <w:t>—</w:t>
      </w:r>
      <w:r w:rsidRPr="00C5727C">
        <w:rPr>
          <w:rFonts w:ascii="Tahoma" w:hAnsi="Tahoma" w:cs="Tahoma"/>
          <w:color w:val="auto"/>
          <w:sz w:val="36"/>
          <w:lang w:eastAsia="zh-CN"/>
        </w:rPr>
        <w:t>命令你们做什麽？艾布苏夫扬说：我答道，他说：</w:t>
      </w:r>
      <w:r w:rsidRPr="00C5727C">
        <w:rPr>
          <w:rFonts w:ascii="Tahoma" w:hAnsi="Tahoma" w:cs="Tahoma"/>
          <w:color w:val="auto"/>
          <w:sz w:val="36"/>
          <w:lang w:eastAsia="zh-CN"/>
        </w:rPr>
        <w:t>“</w:t>
      </w:r>
      <w:r w:rsidRPr="00C5727C">
        <w:rPr>
          <w:rFonts w:ascii="Tahoma" w:hAnsi="Tahoma" w:cs="Tahoma"/>
          <w:color w:val="auto"/>
          <w:sz w:val="36"/>
          <w:lang w:eastAsia="zh-CN"/>
        </w:rPr>
        <w:t>你们当只崇拜安拉，不以任何物举伴他，你们当放弃你们祖先的迷信。他</w:t>
      </w:r>
      <w:r w:rsidRPr="00C5727C">
        <w:rPr>
          <w:rFonts w:ascii="Tahoma" w:hAnsi="Tahoma" w:cs="Tahoma"/>
          <w:color w:val="auto"/>
          <w:sz w:val="36"/>
          <w:lang w:eastAsia="zh-CN"/>
        </w:rPr>
        <w:lastRenderedPageBreak/>
        <w:t>命令我们完成拜功，诚实、清廉、接续近亲。</w:t>
      </w:r>
      <w:r w:rsidRPr="00C5727C">
        <w:rPr>
          <w:rFonts w:ascii="Tahoma" w:hAnsi="Tahoma" w:cs="Tahoma"/>
          <w:color w:val="auto"/>
          <w:sz w:val="36"/>
          <w:lang w:eastAsia="zh-CN"/>
        </w:rPr>
        <w:t xml:space="preserve">” </w:t>
      </w:r>
      <w:r w:rsidRPr="00C5727C">
        <w:rPr>
          <w:rFonts w:ascii="Tahoma" w:hAnsi="Tahoma" w:cs="Tahoma"/>
          <w:color w:val="auto"/>
          <w:sz w:val="36"/>
          <w:lang w:eastAsia="zh-CN"/>
        </w:rPr>
        <w:t>布哈里圣训集（</w:t>
      </w:r>
      <w:r w:rsidRPr="00C5727C">
        <w:rPr>
          <w:rFonts w:ascii="Tahoma" w:hAnsi="Tahoma" w:cs="Tahoma"/>
          <w:color w:val="auto"/>
          <w:sz w:val="36"/>
          <w:lang w:eastAsia="zh-CN"/>
        </w:rPr>
        <w:t>1/30</w:t>
      </w:r>
      <w:r w:rsidRPr="00C5727C">
        <w:rPr>
          <w:rFonts w:ascii="Tahoma" w:hAnsi="Tahoma" w:cs="Tahoma"/>
          <w:color w:val="auto"/>
          <w:sz w:val="36"/>
          <w:lang w:eastAsia="zh-CN"/>
        </w:rPr>
        <w:t>）穆斯林圣训集（</w:t>
      </w:r>
      <w:r w:rsidRPr="00C5727C">
        <w:rPr>
          <w:rFonts w:ascii="Tahoma" w:hAnsi="Tahoma" w:cs="Tahoma"/>
          <w:color w:val="auto"/>
          <w:sz w:val="36"/>
          <w:lang w:eastAsia="zh-CN"/>
        </w:rPr>
        <w:t>1773</w:t>
      </w:r>
      <w:r w:rsidRPr="00C5727C">
        <w:rPr>
          <w:rFonts w:ascii="Tahoma" w:hAnsi="Tahoma" w:cs="Tahoma"/>
          <w:color w:val="auto"/>
          <w:sz w:val="36"/>
          <w:lang w:eastAsia="zh-CN"/>
        </w:rPr>
        <w:t>）。</w:t>
      </w:r>
    </w:p>
    <w:p w:rsidR="00C5727C" w:rsidRPr="00C5727C" w:rsidRDefault="00C5727C" w:rsidP="00C5727C">
      <w:pPr>
        <w:shd w:val="clear" w:color="auto" w:fill="FFFFFF"/>
        <w:bidi w:val="0"/>
        <w:spacing w:after="164" w:line="480" w:lineRule="auto"/>
        <w:ind w:firstLineChars="200" w:firstLine="720"/>
        <w:rPr>
          <w:rFonts w:ascii="Tahoma" w:hAnsi="Tahoma" w:cs="Tahoma"/>
          <w:color w:val="auto"/>
          <w:sz w:val="36"/>
          <w:lang w:eastAsia="zh-CN"/>
        </w:rPr>
      </w:pPr>
      <w:r w:rsidRPr="00C5727C">
        <w:rPr>
          <w:rFonts w:ascii="Tahoma" w:hAnsi="Tahoma" w:cs="Tahoma"/>
          <w:color w:val="auto"/>
          <w:sz w:val="36"/>
          <w:lang w:eastAsia="zh-CN"/>
        </w:rPr>
        <w:t>由哈克目</w:t>
      </w:r>
      <w:r w:rsidRPr="00C5727C">
        <w:rPr>
          <w:rFonts w:ascii="Tahoma" w:hAnsi="Tahoma" w:cs="Tahoma"/>
          <w:color w:val="auto"/>
          <w:sz w:val="36"/>
          <w:lang w:eastAsia="zh-CN"/>
        </w:rPr>
        <w:t>·</w:t>
      </w:r>
      <w:r w:rsidRPr="00C5727C">
        <w:rPr>
          <w:rFonts w:ascii="Tahoma" w:hAnsi="Tahoma" w:cs="Tahoma"/>
          <w:color w:val="auto"/>
          <w:sz w:val="36"/>
          <w:lang w:eastAsia="zh-CN"/>
        </w:rPr>
        <w:t>本</w:t>
      </w:r>
      <w:r w:rsidRPr="00C5727C">
        <w:rPr>
          <w:rFonts w:ascii="Tahoma" w:hAnsi="Tahoma" w:cs="Tahoma"/>
          <w:color w:val="auto"/>
          <w:sz w:val="36"/>
          <w:lang w:eastAsia="zh-CN"/>
        </w:rPr>
        <w:t>·</w:t>
      </w:r>
      <w:r w:rsidRPr="00C5727C">
        <w:rPr>
          <w:rFonts w:ascii="Tahoma" w:hAnsi="Tahoma" w:cs="Tahoma"/>
          <w:color w:val="auto"/>
          <w:sz w:val="36"/>
          <w:lang w:eastAsia="zh-CN"/>
        </w:rPr>
        <w:t>哈扎姆（愿安拉喜悦他）传述，圣人（安拉的称赞、祝福与平安属于他）说：</w:t>
      </w:r>
      <w:r w:rsidRPr="00C5727C">
        <w:rPr>
          <w:rFonts w:ascii="Tahoma" w:hAnsi="Tahoma" w:cs="Tahoma"/>
          <w:color w:val="auto"/>
          <w:sz w:val="36"/>
          <w:lang w:eastAsia="zh-CN"/>
        </w:rPr>
        <w:t>“</w:t>
      </w:r>
      <w:r w:rsidRPr="00C5727C">
        <w:rPr>
          <w:rFonts w:ascii="Tahoma" w:hAnsi="Tahoma" w:cs="Tahoma"/>
          <w:color w:val="auto"/>
          <w:sz w:val="36"/>
          <w:lang w:eastAsia="zh-CN"/>
        </w:rPr>
        <w:t>买卖双方在尚未分手前，自由地选择交易，诚实明白地买卖为他俩的交易增加福利，说谎及隐瞒实情只能消抹交易中的福利。</w:t>
      </w:r>
      <w:r w:rsidRPr="00C5727C">
        <w:rPr>
          <w:rFonts w:ascii="Tahoma" w:hAnsi="Tahoma" w:cs="Tahoma"/>
          <w:color w:val="auto"/>
          <w:sz w:val="36"/>
          <w:lang w:eastAsia="zh-CN"/>
        </w:rPr>
        <w:t xml:space="preserve">” </w:t>
      </w:r>
      <w:r w:rsidRPr="00C5727C">
        <w:rPr>
          <w:rFonts w:ascii="Tahoma" w:hAnsi="Tahoma" w:cs="Tahoma"/>
          <w:color w:val="auto"/>
          <w:sz w:val="36"/>
          <w:lang w:eastAsia="zh-CN"/>
        </w:rPr>
        <w:t>布哈里圣训（</w:t>
      </w:r>
      <w:r w:rsidRPr="00C5727C">
        <w:rPr>
          <w:rFonts w:ascii="Tahoma" w:hAnsi="Tahoma" w:cs="Tahoma"/>
          <w:color w:val="auto"/>
          <w:sz w:val="36"/>
          <w:lang w:eastAsia="zh-CN"/>
        </w:rPr>
        <w:t>4/275</w:t>
      </w:r>
      <w:r w:rsidRPr="00C5727C">
        <w:rPr>
          <w:rFonts w:ascii="Tahoma" w:hAnsi="Tahoma" w:cs="Tahoma"/>
          <w:color w:val="auto"/>
          <w:sz w:val="36"/>
          <w:lang w:eastAsia="zh-CN"/>
        </w:rPr>
        <w:t>）</w:t>
      </w:r>
      <w:r w:rsidRPr="00C5727C">
        <w:rPr>
          <w:rFonts w:ascii="Tahoma" w:hAnsi="Tahoma" w:cs="Tahoma"/>
          <w:color w:val="auto"/>
          <w:sz w:val="36"/>
          <w:lang w:eastAsia="zh-CN"/>
        </w:rPr>
        <w:t xml:space="preserve"> </w:t>
      </w:r>
      <w:r w:rsidRPr="00C5727C">
        <w:rPr>
          <w:rFonts w:ascii="Tahoma" w:hAnsi="Tahoma" w:cs="Tahoma"/>
          <w:color w:val="auto"/>
          <w:sz w:val="36"/>
          <w:lang w:eastAsia="zh-CN"/>
        </w:rPr>
        <w:t>穆斯林圣训（</w:t>
      </w:r>
      <w:r w:rsidRPr="00C5727C">
        <w:rPr>
          <w:rFonts w:ascii="Tahoma" w:hAnsi="Tahoma" w:cs="Tahoma"/>
          <w:color w:val="auto"/>
          <w:sz w:val="36"/>
          <w:lang w:eastAsia="zh-CN"/>
        </w:rPr>
        <w:t>1532</w:t>
      </w:r>
      <w:r w:rsidRPr="00C5727C">
        <w:rPr>
          <w:rFonts w:ascii="Tahoma" w:hAnsi="Tahoma" w:cs="Tahoma"/>
          <w:color w:val="auto"/>
          <w:sz w:val="36"/>
          <w:lang w:eastAsia="zh-CN"/>
        </w:rPr>
        <w:t>）。</w:t>
      </w:r>
    </w:p>
    <w:p w:rsidR="00C5727C" w:rsidRPr="00C5727C" w:rsidRDefault="00C5727C" w:rsidP="00C5727C">
      <w:pPr>
        <w:shd w:val="clear" w:color="auto" w:fill="FFFFFF"/>
        <w:bidi w:val="0"/>
        <w:spacing w:after="164" w:line="480" w:lineRule="auto"/>
        <w:rPr>
          <w:rFonts w:ascii="Tahoma" w:hAnsi="Tahoma" w:cs="Tahoma"/>
          <w:color w:val="auto"/>
          <w:sz w:val="36"/>
          <w:lang w:eastAsia="zh-CN"/>
        </w:rPr>
      </w:pPr>
      <w:r w:rsidRPr="00C5727C">
        <w:rPr>
          <w:rFonts w:ascii="Tahoma" w:hAnsi="Tahoma" w:cs="Tahoma"/>
          <w:color w:val="auto"/>
          <w:sz w:val="36"/>
          <w:lang w:eastAsia="zh-CN"/>
        </w:rPr>
        <w:t>诚实包括了：对安拉的诚实，表现在将崇拜只归于安拉；对自身的诚实，表现在使自己服从安拉的法度；对他人的诚实，表现在言语、约会上，以及买卖、婚姻等各个方面的社会交往中，不骗人，不弄虚作假，不隐瞒事实，达到使外在行为与内心思想保持一致。</w:t>
      </w:r>
    </w:p>
    <w:p w:rsidR="00C5727C" w:rsidRPr="00C5727C" w:rsidRDefault="00C5727C" w:rsidP="00C5727C">
      <w:pPr>
        <w:shd w:val="clear" w:color="auto" w:fill="FFFFFF"/>
        <w:bidi w:val="0"/>
        <w:spacing w:after="164" w:line="480" w:lineRule="auto"/>
        <w:rPr>
          <w:rFonts w:ascii="Tahoma" w:hAnsi="Tahoma" w:cs="Tahoma"/>
          <w:color w:val="auto"/>
          <w:sz w:val="36"/>
          <w:lang w:eastAsia="zh-CN"/>
        </w:rPr>
      </w:pPr>
      <w:r w:rsidRPr="00C5727C">
        <w:rPr>
          <w:rFonts w:ascii="Tahoma" w:hAnsi="Tahoma" w:cs="Tahoma"/>
          <w:color w:val="auto"/>
          <w:sz w:val="36"/>
          <w:lang w:eastAsia="zh-CN"/>
        </w:rPr>
        <w:t>至于谎言，它属于重大的受禁事项，它的丑恶与罪过分许多等级，最严重的表现形式是对于安拉与使者的谎言，因它是对安拉的宗教的诽谤与诋毁，是对于安</w:t>
      </w:r>
      <w:r w:rsidRPr="00C5727C">
        <w:rPr>
          <w:rFonts w:ascii="Tahoma" w:hAnsi="Tahoma" w:cs="Tahoma"/>
          <w:color w:val="auto"/>
          <w:sz w:val="36"/>
          <w:lang w:eastAsia="zh-CN"/>
        </w:rPr>
        <w:lastRenderedPageBreak/>
        <w:t>拉极大的放肆无礼，因此，在圣人（安拉的称赞、祝福与平安属于他）的美好品性中，忠诚地传达安拉命令他的一切是其中之一，也因为如此，崇高的安拉说：（假借安拉的名义而造谣，以致无知地使人迷误的人，有谁比他还不义呢？安拉必定不引导不义的民众。）又说：（假借安拉的名义而造谣的人，有谁比他们还不义呢？这等人将受他们的主的检阅，而见证者们将来要说：</w:t>
      </w:r>
      <w:r w:rsidRPr="00C5727C">
        <w:rPr>
          <w:rFonts w:ascii="Tahoma" w:hAnsi="Tahoma" w:cs="Tahoma"/>
          <w:color w:val="auto"/>
          <w:sz w:val="36"/>
          <w:lang w:eastAsia="zh-CN"/>
        </w:rPr>
        <w:t>“</w:t>
      </w:r>
      <w:r w:rsidRPr="00C5727C">
        <w:rPr>
          <w:rFonts w:ascii="Tahoma" w:hAnsi="Tahoma" w:cs="Tahoma"/>
          <w:color w:val="auto"/>
          <w:sz w:val="36"/>
          <w:lang w:eastAsia="zh-CN"/>
        </w:rPr>
        <w:t>这等人是假借他们的主的名义造谣的。</w:t>
      </w:r>
      <w:r w:rsidRPr="00C5727C">
        <w:rPr>
          <w:rFonts w:ascii="Tahoma" w:hAnsi="Tahoma" w:cs="Tahoma"/>
          <w:color w:val="auto"/>
          <w:sz w:val="36"/>
          <w:lang w:eastAsia="zh-CN"/>
        </w:rPr>
        <w:t>”</w:t>
      </w:r>
      <w:r w:rsidRPr="00C5727C">
        <w:rPr>
          <w:rFonts w:ascii="Tahoma" w:hAnsi="Tahoma" w:cs="Tahoma"/>
          <w:color w:val="auto"/>
          <w:sz w:val="36"/>
          <w:lang w:eastAsia="zh-CN"/>
        </w:rPr>
        <w:t>真的，安拉的诅咒是要加于不义的人们的。）与这相类似的是以圣人（安拉的称赞、祝福与平安属于他）的名义造谣，正如在这段有多条途径传述的圣训中，圣人（安拉的称赞、祝福与平安属于他）说：（谁故意地给我造谣，就让他在火狱中为自己准备一个座位吧。）此圣训同时记载于布哈里和穆斯林两真集中。</w:t>
      </w:r>
    </w:p>
    <w:p w:rsidR="00C5727C" w:rsidRPr="00C5727C" w:rsidRDefault="00C5727C" w:rsidP="00C5727C">
      <w:pPr>
        <w:shd w:val="clear" w:color="auto" w:fill="FFFFFF"/>
        <w:bidi w:val="0"/>
        <w:spacing w:after="164" w:line="480" w:lineRule="auto"/>
        <w:ind w:firstLineChars="200" w:firstLine="720"/>
        <w:rPr>
          <w:rFonts w:ascii="Tahoma" w:hAnsi="Tahoma" w:cs="Tahoma"/>
          <w:color w:val="auto"/>
          <w:sz w:val="36"/>
          <w:lang w:eastAsia="zh-CN"/>
        </w:rPr>
      </w:pPr>
      <w:r w:rsidRPr="00C5727C">
        <w:rPr>
          <w:rFonts w:ascii="Tahoma" w:hAnsi="Tahoma" w:cs="Tahoma"/>
          <w:color w:val="auto"/>
          <w:sz w:val="36"/>
          <w:lang w:eastAsia="zh-CN"/>
        </w:rPr>
        <w:lastRenderedPageBreak/>
        <w:t>谎言在原则上是不允许的，但在一些特殊情况下，教法允许谎言，目的为了实现重大的利益或者为了避免伤害。</w:t>
      </w:r>
    </w:p>
    <w:p w:rsidR="00C5727C" w:rsidRPr="00C5727C" w:rsidRDefault="00C5727C" w:rsidP="00C5727C">
      <w:pPr>
        <w:shd w:val="clear" w:color="auto" w:fill="FFFFFF"/>
        <w:bidi w:val="0"/>
        <w:spacing w:after="164" w:line="480" w:lineRule="auto"/>
        <w:ind w:firstLineChars="200" w:firstLine="720"/>
        <w:rPr>
          <w:rFonts w:ascii="Tahoma" w:hAnsi="Tahoma" w:cs="Tahoma"/>
          <w:color w:val="auto"/>
          <w:sz w:val="36"/>
          <w:lang w:eastAsia="zh-CN"/>
        </w:rPr>
      </w:pPr>
      <w:r w:rsidRPr="00C5727C">
        <w:rPr>
          <w:rFonts w:ascii="Tahoma" w:hAnsi="Tahoma" w:cs="Tahoma"/>
          <w:color w:val="auto"/>
          <w:sz w:val="36"/>
          <w:lang w:eastAsia="zh-CN"/>
        </w:rPr>
        <w:t>这些特殊情况其中包括：当为发生矛盾的双方进行调解时，除了使用一些谎言外，没有更有效的办法，以下这段圣训可作为证据：由温姆库勒宿姆传述，圣人（安拉的称赞、祝福与平安属于他）说：</w:t>
      </w:r>
      <w:r w:rsidRPr="00C5727C">
        <w:rPr>
          <w:rFonts w:ascii="Tahoma" w:hAnsi="Tahoma" w:cs="Tahoma"/>
          <w:color w:val="auto"/>
          <w:sz w:val="36"/>
          <w:lang w:eastAsia="zh-CN"/>
        </w:rPr>
        <w:t>“</w:t>
      </w:r>
      <w:r w:rsidRPr="00C5727C">
        <w:rPr>
          <w:rFonts w:ascii="Tahoma" w:hAnsi="Tahoma" w:cs="Tahoma"/>
          <w:color w:val="auto"/>
          <w:sz w:val="36"/>
          <w:lang w:eastAsia="zh-CN"/>
        </w:rPr>
        <w:t>为了在人们之间调节纷争而只传达善言的人，不算作说谎者。</w:t>
      </w:r>
      <w:r w:rsidRPr="00C5727C">
        <w:rPr>
          <w:rFonts w:ascii="Tahoma" w:hAnsi="Tahoma" w:cs="Tahoma"/>
          <w:color w:val="auto"/>
          <w:sz w:val="36"/>
          <w:lang w:eastAsia="zh-CN"/>
        </w:rPr>
        <w:t xml:space="preserve">” </w:t>
      </w:r>
      <w:r w:rsidRPr="00C5727C">
        <w:rPr>
          <w:rFonts w:ascii="Tahoma" w:hAnsi="Tahoma" w:cs="Tahoma"/>
          <w:color w:val="auto"/>
          <w:sz w:val="36"/>
          <w:lang w:eastAsia="zh-CN"/>
        </w:rPr>
        <w:t>布哈里圣训（</w:t>
      </w:r>
      <w:r w:rsidRPr="00C5727C">
        <w:rPr>
          <w:rFonts w:ascii="Tahoma" w:hAnsi="Tahoma" w:cs="Tahoma"/>
          <w:color w:val="auto"/>
          <w:sz w:val="36"/>
          <w:lang w:eastAsia="zh-CN"/>
        </w:rPr>
        <w:t>2495</w:t>
      </w:r>
      <w:r w:rsidRPr="00C5727C">
        <w:rPr>
          <w:rFonts w:ascii="Tahoma" w:hAnsi="Tahoma" w:cs="Tahoma"/>
          <w:color w:val="auto"/>
          <w:sz w:val="36"/>
          <w:lang w:eastAsia="zh-CN"/>
        </w:rPr>
        <w:t>）。</w:t>
      </w:r>
    </w:p>
    <w:p w:rsidR="00C5727C" w:rsidRPr="00C5727C" w:rsidRDefault="00C5727C" w:rsidP="00C5727C">
      <w:pPr>
        <w:shd w:val="clear" w:color="auto" w:fill="FFFFFF"/>
        <w:bidi w:val="0"/>
        <w:spacing w:after="164" w:line="480" w:lineRule="auto"/>
        <w:ind w:firstLineChars="200" w:firstLine="720"/>
        <w:rPr>
          <w:rFonts w:ascii="Tahoma" w:hAnsi="Tahoma" w:cs="Tahoma"/>
          <w:color w:val="auto"/>
          <w:sz w:val="36"/>
          <w:lang w:eastAsia="zh-CN"/>
        </w:rPr>
      </w:pPr>
      <w:r w:rsidRPr="00C5727C">
        <w:rPr>
          <w:rFonts w:ascii="Tahoma" w:hAnsi="Tahoma" w:cs="Tahoma"/>
          <w:color w:val="auto"/>
          <w:sz w:val="36"/>
          <w:lang w:eastAsia="zh-CN"/>
        </w:rPr>
        <w:t>另外，还有夫妻间为增进感情而讲的一些夸张的话语，如以下这段圣训所述：由耶兹德之女艾斯玛传述，安拉的使者（安拉的称赞、祝福与平安属于他）说：</w:t>
      </w:r>
      <w:r w:rsidRPr="00C5727C">
        <w:rPr>
          <w:rFonts w:ascii="Tahoma" w:hAnsi="Tahoma" w:cs="Tahoma"/>
          <w:color w:val="auto"/>
          <w:sz w:val="36"/>
          <w:lang w:eastAsia="zh-CN"/>
        </w:rPr>
        <w:t>“</w:t>
      </w:r>
      <w:r w:rsidRPr="00C5727C">
        <w:rPr>
          <w:rFonts w:ascii="Tahoma" w:hAnsi="Tahoma" w:cs="Tahoma"/>
          <w:color w:val="auto"/>
          <w:sz w:val="36"/>
          <w:lang w:eastAsia="zh-CN"/>
        </w:rPr>
        <w:t>谎言只在三种情况下是允许的：丈夫为了取悦他的妻子、在战争中、为了调解人们的纷争。</w:t>
      </w:r>
      <w:r w:rsidRPr="00C5727C">
        <w:rPr>
          <w:rFonts w:ascii="Tahoma" w:hAnsi="Tahoma" w:cs="Tahoma"/>
          <w:color w:val="auto"/>
          <w:sz w:val="36"/>
          <w:lang w:eastAsia="zh-CN"/>
        </w:rPr>
        <w:t xml:space="preserve">” </w:t>
      </w:r>
      <w:r w:rsidRPr="00C5727C">
        <w:rPr>
          <w:rFonts w:ascii="Tahoma" w:hAnsi="Tahoma" w:cs="Tahoma"/>
          <w:color w:val="auto"/>
          <w:sz w:val="36"/>
          <w:lang w:eastAsia="zh-CN"/>
        </w:rPr>
        <w:t>提勒密</w:t>
      </w:r>
      <w:r w:rsidRPr="00C5727C">
        <w:rPr>
          <w:rFonts w:ascii="Tahoma" w:hAnsi="Tahoma" w:cs="Tahoma"/>
          <w:color w:val="auto"/>
          <w:sz w:val="36"/>
          <w:lang w:eastAsia="zh-CN"/>
        </w:rPr>
        <w:lastRenderedPageBreak/>
        <w:t>吉圣训集（</w:t>
      </w:r>
      <w:r w:rsidRPr="00C5727C">
        <w:rPr>
          <w:rFonts w:ascii="Tahoma" w:hAnsi="Tahoma" w:cs="Tahoma"/>
          <w:color w:val="auto"/>
          <w:sz w:val="36"/>
          <w:lang w:eastAsia="zh-CN"/>
        </w:rPr>
        <w:t>1862</w:t>
      </w:r>
      <w:r w:rsidRPr="00C5727C">
        <w:rPr>
          <w:rFonts w:ascii="Tahoma" w:hAnsi="Tahoma" w:cs="Tahoma"/>
          <w:color w:val="auto"/>
          <w:sz w:val="36"/>
          <w:lang w:eastAsia="zh-CN"/>
        </w:rPr>
        <w:t>）被断为可靠圣训，另见穆斯林圣训集（</w:t>
      </w:r>
      <w:r w:rsidRPr="00C5727C">
        <w:rPr>
          <w:rFonts w:ascii="Tahoma" w:hAnsi="Tahoma" w:cs="Tahoma"/>
          <w:color w:val="auto"/>
          <w:sz w:val="36"/>
          <w:lang w:eastAsia="zh-CN"/>
        </w:rPr>
        <w:t>4717</w:t>
      </w:r>
      <w:r w:rsidRPr="00C5727C">
        <w:rPr>
          <w:rFonts w:ascii="Tahoma" w:hAnsi="Tahoma" w:cs="Tahoma"/>
          <w:color w:val="auto"/>
          <w:sz w:val="36"/>
          <w:lang w:eastAsia="zh-CN"/>
        </w:rPr>
        <w:t>）。</w:t>
      </w:r>
    </w:p>
    <w:p w:rsidR="00C5727C" w:rsidRPr="00C5727C" w:rsidRDefault="00C5727C" w:rsidP="00D41BB3">
      <w:pPr>
        <w:shd w:val="clear" w:color="auto" w:fill="FFFFFF"/>
        <w:bidi w:val="0"/>
        <w:spacing w:after="164" w:line="480" w:lineRule="auto"/>
        <w:ind w:firstLineChars="200" w:firstLine="720"/>
        <w:rPr>
          <w:rFonts w:ascii="Tahoma" w:hAnsi="Tahoma" w:cs="Tahoma"/>
          <w:color w:val="auto"/>
          <w:sz w:val="36"/>
          <w:lang w:eastAsia="zh-CN"/>
        </w:rPr>
      </w:pPr>
      <w:r w:rsidRPr="00C5727C">
        <w:rPr>
          <w:rFonts w:ascii="Tahoma" w:hAnsi="Tahoma" w:cs="Tahoma"/>
          <w:color w:val="auto"/>
          <w:sz w:val="36"/>
          <w:lang w:eastAsia="zh-CN"/>
        </w:rPr>
        <w:t>诚实与谎言最常见的表现形式是在履约及信守诺言方面，诚实地履行誓约、信守诺言是信士们所应有的高贵品质，之所以同时提出履约与信守诺言是因为这两件事物都表示了行为者要完成事件的决心，特别是当约定或誓言与安拉的权力有关时，就如在这节经文中，安拉夸赞他的一些仆人：（他们是尊重自己所受的信托和自己所缔的盟约的。）信士章崇高的安拉又在黄牛章中提及：（那些履行约言的人。）又说（信士中有许多人，已实践他们与安拉所定的盟约：他们中有成仁的，有待义的，他们没有变节。）同盟军章。</w:t>
      </w:r>
    </w:p>
    <w:p w:rsidR="00C5727C" w:rsidRPr="00C5727C" w:rsidRDefault="00C5727C" w:rsidP="00C5727C">
      <w:pPr>
        <w:shd w:val="clear" w:color="auto" w:fill="FFFFFF"/>
        <w:bidi w:val="0"/>
        <w:spacing w:after="164" w:line="480" w:lineRule="auto"/>
        <w:rPr>
          <w:rFonts w:ascii="Tahoma" w:hAnsi="Tahoma" w:cs="Tahoma"/>
          <w:color w:val="auto"/>
          <w:sz w:val="36"/>
          <w:lang w:eastAsia="zh-CN"/>
        </w:rPr>
      </w:pPr>
      <w:r w:rsidRPr="00C5727C">
        <w:rPr>
          <w:rFonts w:ascii="Tahoma" w:hAnsi="Tahoma" w:cs="Tahoma"/>
          <w:color w:val="auto"/>
          <w:sz w:val="36"/>
          <w:lang w:eastAsia="zh-CN"/>
        </w:rPr>
        <w:t>祈求崇高的安拉赐予我们言行的忠诚。</w:t>
      </w:r>
    </w:p>
    <w:p w:rsidR="00C5727C" w:rsidRPr="00C5727C" w:rsidRDefault="00C5727C" w:rsidP="00C5727C">
      <w:pPr>
        <w:shd w:val="clear" w:color="auto" w:fill="FFFFFF"/>
        <w:bidi w:val="0"/>
        <w:spacing w:after="164" w:line="480" w:lineRule="auto"/>
        <w:rPr>
          <w:rFonts w:ascii="Tahoma" w:hAnsi="Tahoma" w:cs="Tahoma"/>
          <w:color w:val="auto"/>
          <w:sz w:val="36"/>
        </w:rPr>
      </w:pPr>
      <w:r w:rsidRPr="00C5727C">
        <w:rPr>
          <w:rFonts w:ascii="Tahoma" w:hAnsi="Tahoma" w:cs="Tahoma"/>
          <w:color w:val="auto"/>
          <w:sz w:val="36"/>
        </w:rPr>
        <w:t>崇高的安拉至知。</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0"/>
      <w:footerReference w:type="default" r:id="rId11"/>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7E2" w:rsidRDefault="008767E2" w:rsidP="00EB6455">
      <w:r>
        <w:separator/>
      </w:r>
    </w:p>
  </w:endnote>
  <w:endnote w:type="continuationSeparator" w:id="0">
    <w:p w:rsidR="008767E2" w:rsidRDefault="008767E2" w:rsidP="00E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Traditional Arabic">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MS UI Gothic">
    <w:panose1 w:val="020B0600070205080204"/>
    <w:charset w:val="80"/>
    <w:family w:val="swiss"/>
    <w:pitch w:val="variable"/>
    <w:sig w:usb0="A00002BF" w:usb1="68C7FCFB" w:usb2="00000010" w:usb3="00000000" w:csb0="0002009F" w:csb1="00000000"/>
  </w:font>
  <w:font w:name="Courier New">
    <w:panose1 w:val="02070309020205020404"/>
    <w:charset w:val="00"/>
    <w:family w:val="modern"/>
    <w:pitch w:val="fixed"/>
    <w:sig w:usb0="E0000AFF" w:usb1="40007843" w:usb2="00000001" w:usb3="00000000" w:csb0="000001BF" w:csb1="00000000"/>
  </w:font>
  <w:font w:name="inherit">
    <w:altName w:val="Times New Roman"/>
    <w:panose1 w:val="00000000000000000000"/>
    <w:charset w:val="00"/>
    <w:family w:val="roman"/>
    <w:notTrueType/>
    <w:pitch w:val="default"/>
  </w:font>
  <w:font w:name="mylotus">
    <w:altName w:val="Times New Roman"/>
    <w:panose1 w:val="02000000000000000000"/>
    <w:charset w:val="00"/>
    <w:family w:val="auto"/>
    <w:pitch w:val="variable"/>
    <w:sig w:usb0="00002007" w:usb1="80000000" w:usb2="00000008" w:usb3="00000000" w:csb0="00000043" w:csb1="00000000"/>
  </w:font>
  <w:font w:name="STXingkai">
    <w:altName w:val="Times New Roman"/>
    <w:panose1 w:val="02010800040101010101"/>
    <w:charset w:val="86"/>
    <w:family w:val="auto"/>
    <w:pitch w:val="variable"/>
    <w:sig w:usb0="00000001" w:usb1="080F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altName w:val="Times New Roman"/>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31" w:rsidRDefault="00F17241"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8767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B3" w:rsidRDefault="00F17241"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2252DC">
      <w:rPr>
        <w:noProof/>
        <w:sz w:val="28"/>
        <w:szCs w:val="28"/>
      </w:rPr>
      <w:t>8</w:t>
    </w:r>
    <w:r w:rsidRPr="00923817">
      <w:rPr>
        <w:sz w:val="28"/>
        <w:szCs w:val="28"/>
      </w:rPr>
      <w:fldChar w:fldCharType="end"/>
    </w:r>
  </w:p>
  <w:p w:rsidR="005C5331" w:rsidRPr="00156EB3" w:rsidRDefault="008767E2" w:rsidP="00156EB3">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7E2" w:rsidRDefault="008767E2" w:rsidP="00EB6455">
      <w:r>
        <w:separator/>
      </w:r>
    </w:p>
  </w:footnote>
  <w:footnote w:type="continuationSeparator" w:id="0">
    <w:p w:rsidR="008767E2" w:rsidRDefault="008767E2" w:rsidP="00EB6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6455"/>
    <w:rsid w:val="00035EBD"/>
    <w:rsid w:val="0007618C"/>
    <w:rsid w:val="000777D6"/>
    <w:rsid w:val="00122361"/>
    <w:rsid w:val="00157B23"/>
    <w:rsid w:val="001743FA"/>
    <w:rsid w:val="0019347C"/>
    <w:rsid w:val="001B6333"/>
    <w:rsid w:val="002252DC"/>
    <w:rsid w:val="002350D4"/>
    <w:rsid w:val="00274430"/>
    <w:rsid w:val="002804F9"/>
    <w:rsid w:val="002A30C7"/>
    <w:rsid w:val="0031151D"/>
    <w:rsid w:val="00352158"/>
    <w:rsid w:val="003B55D3"/>
    <w:rsid w:val="00442CC2"/>
    <w:rsid w:val="00462A59"/>
    <w:rsid w:val="00482F6F"/>
    <w:rsid w:val="004E1EA8"/>
    <w:rsid w:val="005056E6"/>
    <w:rsid w:val="005C6719"/>
    <w:rsid w:val="005D2377"/>
    <w:rsid w:val="005F220A"/>
    <w:rsid w:val="0061619F"/>
    <w:rsid w:val="00616C3E"/>
    <w:rsid w:val="006412A0"/>
    <w:rsid w:val="00657854"/>
    <w:rsid w:val="0066117B"/>
    <w:rsid w:val="006D5DD9"/>
    <w:rsid w:val="007B587A"/>
    <w:rsid w:val="00844DDF"/>
    <w:rsid w:val="00856385"/>
    <w:rsid w:val="008767E2"/>
    <w:rsid w:val="008B2286"/>
    <w:rsid w:val="008C1908"/>
    <w:rsid w:val="0093085A"/>
    <w:rsid w:val="00935B96"/>
    <w:rsid w:val="00945734"/>
    <w:rsid w:val="00962983"/>
    <w:rsid w:val="009750B0"/>
    <w:rsid w:val="009D344A"/>
    <w:rsid w:val="00A11098"/>
    <w:rsid w:val="00A2494F"/>
    <w:rsid w:val="00A3521C"/>
    <w:rsid w:val="00A60587"/>
    <w:rsid w:val="00B83686"/>
    <w:rsid w:val="00BC1D95"/>
    <w:rsid w:val="00C11F71"/>
    <w:rsid w:val="00C5412A"/>
    <w:rsid w:val="00C5727C"/>
    <w:rsid w:val="00CC3482"/>
    <w:rsid w:val="00CD6F06"/>
    <w:rsid w:val="00CD733C"/>
    <w:rsid w:val="00D04B88"/>
    <w:rsid w:val="00D15E7D"/>
    <w:rsid w:val="00D36432"/>
    <w:rsid w:val="00D41BB3"/>
    <w:rsid w:val="00D860D2"/>
    <w:rsid w:val="00DB44B1"/>
    <w:rsid w:val="00DC4991"/>
    <w:rsid w:val="00DC54D7"/>
    <w:rsid w:val="00DF5A57"/>
    <w:rsid w:val="00E13455"/>
    <w:rsid w:val="00EB6455"/>
    <w:rsid w:val="00EE484A"/>
    <w:rsid w:val="00F17241"/>
    <w:rsid w:val="00FD18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BEA34B-731E-48E3-A753-82CFFF39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1152</Words>
  <Characters>1233</Characters>
  <Application>Microsoft Office Word</Application>
  <DocSecurity>0</DocSecurity>
  <Lines>72</Lines>
  <Paragraphs>35</Paragraphs>
  <ScaleCrop>false</ScaleCrop>
  <Manager/>
  <Company>islamhouse.com</Company>
  <LinksUpToDate>false</LinksUpToDate>
  <CharactersWithSpaces>2350</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诚实的重要性</dc:title>
  <dc:subject>诚实的重要性</dc:subject>
  <dc:creator>伊斯兰问答网站_x000d_</dc:creator>
  <cp:keywords>诚实的重要性</cp:keywords>
  <dc:description>诚实的重要性</dc:description>
  <cp:lastModifiedBy>elhashemy</cp:lastModifiedBy>
  <cp:revision>3</cp:revision>
  <dcterms:created xsi:type="dcterms:W3CDTF">2015-03-11T12:12:00Z</dcterms:created>
  <dcterms:modified xsi:type="dcterms:W3CDTF">2015-03-29T11:45:00Z</dcterms:modified>
  <cp:category/>
</cp:coreProperties>
</file>