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175F8D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DC35B7" w:rsidRDefault="00DC35B7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DC35B7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关于以物配主、托靠真主和采取因素的一些问题</w:t>
      </w:r>
    </w:p>
    <w:p w:rsidR="00EB6455" w:rsidRDefault="00EB6455" w:rsidP="00DC35B7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DC35B7" w:rsidRPr="00F738EA" w:rsidRDefault="00DC35B7" w:rsidP="00DC35B7">
      <w:pPr>
        <w:spacing w:after="55"/>
        <w:jc w:val="center"/>
        <w:outlineLvl w:val="3"/>
        <w:rPr>
          <w:rFonts w:ascii="Helvetica" w:eastAsia="Times New Roman" w:hAnsi="Helvetica" w:cs="Times New Roman"/>
          <w:color w:val="D60F0F"/>
          <w:sz w:val="20"/>
          <w:szCs w:val="20"/>
        </w:rPr>
      </w:pPr>
      <w:r w:rsidRPr="00DC35B7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مسائل متنوعة في الشرك والتوكل والأخذ بالأسباب</w:t>
      </w:r>
      <w:r w:rsidRPr="00DC35B7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  <w:t xml:space="preserve"> </w:t>
      </w:r>
      <w:r w:rsidRPr="00F738EA">
        <w:rPr>
          <w:rFonts w:ascii="Helvetica" w:eastAsia="Times New Roman" w:hAnsi="Helvetica" w:cs="Times New Roman"/>
          <w:color w:val="D60F0F"/>
          <w:sz w:val="20"/>
          <w:szCs w:val="20"/>
        </w:rPr>
        <w:t>.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D44C4D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D44C4D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D44C4D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9D1515" w:rsidRPr="009D1515" w:rsidRDefault="009D1515" w:rsidP="009D1515">
      <w:pPr>
        <w:pStyle w:val="Heading4"/>
        <w:shd w:val="clear" w:color="auto" w:fill="FFFFFF"/>
        <w:spacing w:before="0" w:beforeAutospacing="0" w:after="55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9D1515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关于以物配主、托靠真主和采取因素的一些问题</w:t>
      </w:r>
    </w:p>
    <w:p w:rsidR="009D1515" w:rsidRPr="009D1515" w:rsidRDefault="009D1515" w:rsidP="009D1515">
      <w:pPr>
        <w:shd w:val="clear" w:color="auto" w:fill="FFFFFF"/>
        <w:spacing w:before="218" w:after="218" w:line="218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9D1515" w:rsidRDefault="009D1515" w:rsidP="009D1515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问：</w:t>
      </w:r>
      <w:r w:rsidRPr="009D1515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一个人想要现世的幸福，这句话的意思是什么？</w:t>
      </w:r>
    </w:p>
    <w:p w:rsidR="009D1515" w:rsidRDefault="009D1515" w:rsidP="009D1515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9D1515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例如，一个人祈求饶恕，他在祈求真主的饶恕是</w:t>
      </w:r>
    </w:p>
    <w:p w:rsidR="009D1515" w:rsidRDefault="009D1515" w:rsidP="009D1515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9D1515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同时想要获得现世的给养，这种人是以物配主的</w:t>
      </w:r>
    </w:p>
    <w:p w:rsidR="009D1515" w:rsidRPr="009D1515" w:rsidRDefault="009D1515" w:rsidP="009D1515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9D1515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人吗？</w:t>
      </w:r>
      <w:r w:rsidRPr="009D1515">
        <w:rPr>
          <w:rStyle w:val="apple-converted-space"/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 </w:t>
      </w:r>
      <w:r w:rsidRPr="009D1515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br/>
      </w: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 xml:space="preserve">    </w:t>
      </w:r>
      <w:r w:rsidRPr="009D1515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如果一个人想要丰富的给养，这种人是</w:t>
      </w:r>
      <w:r w:rsidRPr="009D1515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“</w:t>
      </w:r>
      <w:r w:rsidRPr="009D1515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阿卜杜</w:t>
      </w:r>
      <w:r w:rsidRPr="009D1515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·</w:t>
      </w:r>
      <w:r w:rsidRPr="009D1515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迪纳尔</w:t>
      </w:r>
      <w:r w:rsidRPr="009D1515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”</w:t>
      </w:r>
      <w:r w:rsidRPr="009D1515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（金钱的仆人）吗？</w:t>
      </w:r>
      <w:r w:rsidRPr="009D1515">
        <w:rPr>
          <w:rStyle w:val="apple-converted-space"/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 </w:t>
      </w:r>
      <w:r w:rsidRPr="009D1515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br/>
      </w: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 xml:space="preserve">    </w:t>
      </w:r>
      <w:r w:rsidRPr="009D1515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如果一个人说：</w:t>
      </w:r>
      <w:r w:rsidRPr="009D1515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“</w:t>
      </w:r>
      <w:r w:rsidRPr="009D1515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这些钱财是我从祖先继承的</w:t>
      </w:r>
      <w:r w:rsidRPr="009D1515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”</w:t>
      </w:r>
      <w:r w:rsidRPr="009D1515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，这是以物配主的行为吗？</w:t>
      </w:r>
      <w:r w:rsidRPr="009D1515">
        <w:rPr>
          <w:rStyle w:val="apple-converted-space"/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 </w:t>
      </w:r>
      <w:r w:rsidRPr="009D1515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br/>
      </w: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 xml:space="preserve">    </w:t>
      </w:r>
      <w:r w:rsidRPr="009D1515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如果说：</w:t>
      </w:r>
      <w:r w:rsidRPr="009D1515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“</w:t>
      </w:r>
      <w:r w:rsidRPr="009D1515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日本因为忘我的工作而发展了，</w:t>
      </w:r>
      <w:r w:rsidRPr="009D1515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”</w:t>
      </w:r>
      <w:r w:rsidRPr="009D1515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这是以物配主的言语吗？</w:t>
      </w:r>
      <w:r w:rsidRPr="009D1515">
        <w:rPr>
          <w:rStyle w:val="apple-converted-space"/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 </w:t>
      </w:r>
      <w:r w:rsidRPr="009D1515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br/>
      </w:r>
      <w:r w:rsidRPr="009D1515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我希望你们详细的回答我的问题，愿真主回赐你们。</w:t>
      </w:r>
    </w:p>
    <w:p w:rsidR="009D1515" w:rsidRPr="009D1515" w:rsidRDefault="009D1515" w:rsidP="009D1515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9D1515" w:rsidRPr="009D1515" w:rsidRDefault="009D1515" w:rsidP="009D1515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第一：如果一个人想通过善功获得现世，他的心中没有想到后世，那么他的善功无效，不会被真主接受，真主只接受博取真主喜悦的善功。</w:t>
      </w:r>
    </w:p>
    <w:p w:rsidR="009D1515" w:rsidRPr="009D1515" w:rsidRDefault="009D1515" w:rsidP="009D1515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伊玛目艾哈迈德（</w:t>
      </w: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20715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段）辑录：吴班耶</w:t>
      </w: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凯尔布（愿主喜悦之）传述：真主的使者（愿主福安之）说：</w:t>
      </w: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你用荣耀、崇高、正教、胜利以及在大地上屹立向这个伊斯兰民族报喜吧！谁如果为了现世而履行后世的善功，那么他在后世里没有任何福分。</w:t>
      </w: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谢赫艾利巴尼在《正确的圣训大全》（</w:t>
      </w: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2825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段）中认为这是正确的圣训。</w:t>
      </w:r>
    </w:p>
    <w:p w:rsidR="009D1515" w:rsidRPr="009D1515" w:rsidRDefault="009D1515" w:rsidP="009D1515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如果履行善功，希望通过它而获得今世和后世的美好生活，这是没有什么不妥的。</w:t>
      </w:r>
    </w:p>
    <w:p w:rsidR="009D1515" w:rsidRPr="009D1515" w:rsidRDefault="009D1515" w:rsidP="009D1515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格拉菲（愿主怜悯之）说：</w:t>
      </w: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如果一个战士为了服从真主的命令而征战四方，同时获得了战利品，学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者们一致公决这是无妨的，也不是教法禁止的，因为真主在这一项功修中为他安排了这一切。</w:t>
      </w:r>
    </w:p>
    <w:p w:rsidR="009D1515" w:rsidRPr="009D1515" w:rsidRDefault="009D1515" w:rsidP="009D1515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斋戒也一样，如果为了身体健康，或者消除与斋戒相克的疾病，治疗疾病变成了封斋的目的，或者一部分目的，同时为了获得真主的喜悦而封斋，这些目的不会损坏斋戒，而且真主的使者（愿主福安之）命令这样做，他说：</w:t>
      </w: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青年人们，如果你们谁有能力结婚，他应该结婚。因为结婚使他降低视线（非礼勿视），保持贞洁；谁如果没有能力结婚，他应该封斋，因为封斋能节制他的性欲。</w:t>
      </w: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9D1515" w:rsidRDefault="009D1515" w:rsidP="009D1515">
      <w:pPr>
        <w:pStyle w:val="NormalWeb"/>
        <w:shd w:val="clear" w:color="auto" w:fill="FFFFFF"/>
        <w:spacing w:before="0" w:beforeAutospacing="0" w:after="109" w:afterAutospacing="0" w:line="480" w:lineRule="auto"/>
        <w:ind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为了凉爽和清洁卫生而多次洗小净也是一样的，所有的这些目的不是尊重被造物，只是把多重利益集合在一起，所以不会损坏宗教功修。</w:t>
      </w:r>
    </w:p>
    <w:p w:rsidR="009D1515" w:rsidRPr="009D1515" w:rsidRDefault="009D1515" w:rsidP="009D1515">
      <w:pPr>
        <w:pStyle w:val="NormalWeb"/>
        <w:shd w:val="clear" w:color="auto" w:fill="FFFFFF"/>
        <w:spacing w:before="0" w:beforeAutospacing="0" w:after="109" w:afterAutospacing="0" w:line="480" w:lineRule="auto"/>
        <w:ind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但是，多重目的混合在一起有可能会减少回赐，如果是纯粹的宗教功修，没有其它的任何目的，则它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的回赐就会增加，报酬更加丰厚。</w:t>
      </w: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《区别》</w:t>
      </w: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(4 / 429--430)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。</w:t>
      </w:r>
    </w:p>
    <w:p w:rsidR="009D1515" w:rsidRPr="009D1515" w:rsidRDefault="009D1515" w:rsidP="009D1515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敬请参阅（</w:t>
      </w:r>
      <w:hyperlink r:id="rId10" w:history="1">
        <w:r w:rsidRPr="009D1515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84018</w:t>
        </w:r>
      </w:hyperlink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）号问题的回答。</w:t>
      </w:r>
    </w:p>
    <w:p w:rsidR="009D1515" w:rsidRPr="009D1515" w:rsidRDefault="009D1515" w:rsidP="009D1515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谁如果在祈求饶恕的同时要求增加给养，或者为了痊愈而施舍，都是可以的。</w:t>
      </w:r>
    </w:p>
    <w:p w:rsidR="009D1515" w:rsidRPr="009D1515" w:rsidRDefault="009D1515" w:rsidP="009D1515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二：一个人想要丰富的给养，这是可以的，因为这个要求是教法允许的，如果他要求给养的目的是为主道而花费，那么他的要求是教法允许的可嘉的行为（穆斯泰罕布），与聚敛财富、贪图现世的荣华富贵不一样，这是教法贬低的行为，贬低的程度与有可能因此而犯的罪恶一模一样。</w:t>
      </w:r>
    </w:p>
    <w:p w:rsidR="009D1515" w:rsidRPr="009D1515" w:rsidRDefault="009D1515" w:rsidP="009D1515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《布哈里圣训实录》（</w:t>
      </w: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6344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段）和《穆斯林圣训实录》（</w:t>
      </w: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660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段）辑录：艾奈斯（愿主喜悦之）传述：我的母亲乌姆</w:t>
      </w: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苏莱姆（愿主喜悦之）说：</w:t>
      </w: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真主的使者啊！你的服务员就是艾奈斯了，请你为他向真主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祈福吧。</w:t>
      </w: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真主的使者（愿主福安之）祈祷：</w:t>
      </w: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主啊！请你赐给他多财多孙，并且请你在赐予他的东西里降福吧！</w:t>
      </w: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9D1515" w:rsidRPr="009D1515" w:rsidRDefault="009D1515" w:rsidP="009D1515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第三：如果一个人说：</w:t>
      </w: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这些钱财是我从祖先继承的</w:t>
      </w: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，这不是以物配主的行为，因为他肯定了获得这些钱财的合法因素和渠道，那就是继承，这是无可指责的。</w:t>
      </w:r>
    </w:p>
    <w:p w:rsidR="009D1515" w:rsidRPr="009D1515" w:rsidRDefault="009D1515" w:rsidP="009D1515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至于谁耻高气扬、气焰嚣张的这样说，以归属于有钱有势、财大气粗的祖先而自豪，这是教法贬低的行为，这种做法属于蒙昧时代的做法。</w:t>
      </w:r>
    </w:p>
    <w:p w:rsidR="009D1515" w:rsidRPr="009D1515" w:rsidRDefault="009D1515" w:rsidP="009D1515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敬请参阅（</w:t>
      </w:r>
      <w:hyperlink r:id="rId11" w:history="1">
        <w:r w:rsidRPr="009D1515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127248</w:t>
        </w:r>
      </w:hyperlink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）号问题的回答。</w:t>
      </w:r>
    </w:p>
    <w:p w:rsidR="009D1515" w:rsidRPr="009D1515" w:rsidRDefault="009D1515" w:rsidP="009D1515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第四：如果说：</w:t>
      </w: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日本因为忘我的工作而发展了</w:t>
      </w:r>
      <w:r w:rsidRPr="009D151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，这不是以物配主的言语。如果他认为这是真主的意欲，因为这一切实际上已经发生了，这个说法的目的在于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肯定坚持不懈的毅力和决心、忘我的努力工作和恪尽职守的优越性。</w:t>
      </w:r>
    </w:p>
    <w:p w:rsidR="009D1515" w:rsidRPr="009D1515" w:rsidRDefault="009D1515" w:rsidP="009D1515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谁如果认为日本之所以达到现在的发展和进步，只是依靠日本人的聪明才智、丰功伟绩和巨大的努力，而与真主的意志、意欲和前定没有任何关系，那么他就是否认真主的人（卡菲尔）。</w:t>
      </w:r>
    </w:p>
    <w:p w:rsidR="009D1515" w:rsidRPr="009D1515" w:rsidRDefault="009D1515" w:rsidP="009D1515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毫无疑问，穆斯林绝对不会这样说，这样说的人指的肯定是第一种意思，这是可以的。</w:t>
      </w:r>
    </w:p>
    <w:p w:rsidR="009D1515" w:rsidRPr="009D1515" w:rsidRDefault="009D1515" w:rsidP="009D1515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敬请参阅（</w:t>
      </w:r>
      <w:hyperlink r:id="rId12" w:history="1">
        <w:r w:rsidRPr="009D1515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118262</w:t>
        </w:r>
      </w:hyperlink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）、（</w:t>
      </w:r>
      <w:hyperlink r:id="rId13" w:history="1">
        <w:r w:rsidRPr="009D1515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130499</w:t>
        </w:r>
      </w:hyperlink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）和（</w:t>
      </w:r>
      <w:hyperlink r:id="rId14" w:history="1">
        <w:r w:rsidRPr="009D1515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34817</w:t>
        </w:r>
      </w:hyperlink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）号问题的回答。</w:t>
      </w:r>
    </w:p>
    <w:p w:rsidR="009D1515" w:rsidRPr="009D1515" w:rsidRDefault="009D1515" w:rsidP="009D1515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9D151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5"/>
      <w:footerReference w:type="default" r:id="rId16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159" w:rsidRDefault="00713159" w:rsidP="00EB6455">
      <w:r>
        <w:separator/>
      </w:r>
    </w:p>
  </w:endnote>
  <w:endnote w:type="continuationSeparator" w:id="0">
    <w:p w:rsidR="00713159" w:rsidRDefault="00713159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175F8D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7131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175F8D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D44C4D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713159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159" w:rsidRDefault="00713159" w:rsidP="00EB6455">
      <w:r>
        <w:separator/>
      </w:r>
    </w:p>
  </w:footnote>
  <w:footnote w:type="continuationSeparator" w:id="0">
    <w:p w:rsidR="00713159" w:rsidRDefault="00713159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75F8D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919AE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1315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1515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44C4D"/>
    <w:rsid w:val="00D860D2"/>
    <w:rsid w:val="00DB44B1"/>
    <w:rsid w:val="00DC35B7"/>
    <w:rsid w:val="00DC4991"/>
    <w:rsid w:val="00DC54D7"/>
    <w:rsid w:val="00DF5A57"/>
    <w:rsid w:val="00E13455"/>
    <w:rsid w:val="00EB6455"/>
    <w:rsid w:val="00EE484A"/>
    <w:rsid w:val="00F105E7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1515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9D1515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9D1515"/>
  </w:style>
  <w:style w:type="paragraph" w:styleId="NormalWeb">
    <w:name w:val="Normal (Web)"/>
    <w:basedOn w:val="Normal"/>
    <w:uiPriority w:val="99"/>
    <w:semiHidden/>
    <w:unhideWhenUsed/>
    <w:rsid w:val="009D1515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hyperlink" Target="http://islamqa.info/zh/13049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islamqa.info/zh/11826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127248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islamqa.info/zh/84018" TargetMode="Externa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://islamqa.info/zh/3481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1051</Words>
  <Characters>1167</Characters>
  <Application>Microsoft Office Word</Application>
  <DocSecurity>0</DocSecurity>
  <Lines>72</Lines>
  <Paragraphs>45</Paragraphs>
  <ScaleCrop>false</ScaleCrop>
  <Manager/>
  <Company>islamhouse.com</Company>
  <LinksUpToDate>false</LinksUpToDate>
  <CharactersWithSpaces>2173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关于以物配主、托靠真主和采取因素的一些问题</dc:title>
  <dc:subject>关于以物配主、托靠真主和采取因素的一些问题</dc:subject>
  <dc:creator>伊斯兰问答网站_x000d_</dc:creator>
  <cp:keywords>关于以物配主、托靠真主和采取因素的一些问题</cp:keywords>
  <dc:description>关于以物配主、托靠真主和采取因素的一些问题</dc:description>
  <cp:lastModifiedBy>Al-Hashemy</cp:lastModifiedBy>
  <cp:revision>3</cp:revision>
  <dcterms:created xsi:type="dcterms:W3CDTF">2015-01-03T01:46:00Z</dcterms:created>
  <dcterms:modified xsi:type="dcterms:W3CDTF">2015-01-10T12:39:00Z</dcterms:modified>
  <cp:category/>
</cp:coreProperties>
</file>