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455" w:rsidRDefault="00EB6455" w:rsidP="00EB6455">
      <w:pPr>
        <w:bidi w:val="0"/>
        <w:jc w:val="center"/>
        <w:rPr>
          <w:rFonts w:ascii="Arial" w:hAnsi="Arial" w:cs="Arial"/>
          <w:b/>
          <w:bCs/>
          <w:sz w:val="52"/>
          <w:szCs w:val="52"/>
          <w:lang w:eastAsia="zh-CN"/>
        </w:rPr>
      </w:pPr>
    </w:p>
    <w:p w:rsidR="00EB6455" w:rsidRDefault="00EB6455" w:rsidP="00EB6455">
      <w:pPr>
        <w:bidi w:val="0"/>
        <w:jc w:val="center"/>
        <w:rPr>
          <w:rFonts w:ascii="Arial" w:hAnsi="Arial" w:cs="Arial"/>
          <w:b/>
          <w:bCs/>
          <w:sz w:val="52"/>
          <w:szCs w:val="52"/>
          <w:lang w:eastAsia="zh-CN"/>
        </w:rPr>
      </w:pPr>
    </w:p>
    <w:p w:rsidR="00EB6455" w:rsidRDefault="00EB6455" w:rsidP="00EB6455">
      <w:pPr>
        <w:bidi w:val="0"/>
        <w:jc w:val="center"/>
        <w:rPr>
          <w:rFonts w:ascii="Arial" w:hAnsi="Arial" w:cs="Arial" w:hint="cs"/>
          <w:b/>
          <w:bCs/>
          <w:sz w:val="52"/>
          <w:szCs w:val="52"/>
          <w:rtl/>
          <w:lang w:eastAsia="zh-CN"/>
        </w:rPr>
      </w:pPr>
    </w:p>
    <w:p w:rsidR="00AE70FB" w:rsidRDefault="00AE70FB" w:rsidP="00AE70FB">
      <w:pPr>
        <w:bidi w:val="0"/>
        <w:jc w:val="center"/>
        <w:rPr>
          <w:rFonts w:ascii="Arial" w:hAnsi="Arial" w:cs="Arial" w:hint="cs"/>
          <w:b/>
          <w:bCs/>
          <w:sz w:val="52"/>
          <w:szCs w:val="52"/>
          <w:rtl/>
          <w:lang w:eastAsia="zh-CN"/>
        </w:rPr>
      </w:pPr>
    </w:p>
    <w:p w:rsidR="00AE70FB" w:rsidRDefault="00AE70FB" w:rsidP="00AE70FB">
      <w:pPr>
        <w:bidi w:val="0"/>
        <w:jc w:val="center"/>
        <w:rPr>
          <w:rFonts w:ascii="Arial" w:hAnsi="Arial" w:cs="Arial"/>
          <w:b/>
          <w:bCs/>
          <w:sz w:val="52"/>
          <w:szCs w:val="52"/>
          <w:lang w:eastAsia="zh-CN"/>
        </w:rPr>
      </w:pPr>
    </w:p>
    <w:p w:rsidR="00EB6455" w:rsidRPr="00AE70FB" w:rsidRDefault="00AE70FB" w:rsidP="00EB6455">
      <w:pPr>
        <w:bidi w:val="0"/>
        <w:jc w:val="center"/>
        <w:rPr>
          <w:rFonts w:asciiTheme="majorEastAsia" w:eastAsiaTheme="majorEastAsia" w:hAnsiTheme="majorEastAsia" w:cs="Tahoma"/>
          <w:b/>
          <w:bCs/>
          <w:sz w:val="44"/>
          <w:szCs w:val="44"/>
          <w:rtl/>
          <w:lang w:eastAsia="zh-CN"/>
        </w:rPr>
      </w:pPr>
      <w:r w:rsidRPr="00AE70FB">
        <w:rPr>
          <w:rFonts w:asciiTheme="majorEastAsia" w:eastAsiaTheme="majorEastAsia" w:hAnsiTheme="majorEastAsia" w:cs="宋体" w:hint="eastAsia"/>
          <w:b/>
          <w:bCs/>
          <w:kern w:val="28"/>
          <w:sz w:val="44"/>
          <w:szCs w:val="44"/>
          <w:lang w:eastAsia="zh-CN"/>
        </w:rPr>
        <w:t>伊斯兰教的道德观</w:t>
      </w:r>
    </w:p>
    <w:p w:rsidR="00EB6455" w:rsidRPr="00F954E8" w:rsidRDefault="00EB6455" w:rsidP="00EB6455">
      <w:pPr>
        <w:bidi w:val="0"/>
        <w:jc w:val="center"/>
        <w:rPr>
          <w:rFonts w:ascii="Tahoma" w:eastAsia="MS UI Gothic" w:hAnsi="Tahoma" w:cs="Tahoma"/>
          <w:b/>
          <w:bCs/>
          <w:szCs w:val="24"/>
          <w:lang w:eastAsia="zh-CN" w:bidi="ar-EG"/>
        </w:rPr>
      </w:pPr>
      <w:r w:rsidRPr="00F954E8">
        <w:rPr>
          <w:rFonts w:ascii="Tahoma" w:eastAsia="MS UI Gothic" w:hAnsi="Tahoma" w:cs="Tahoma"/>
          <w:b/>
          <w:bCs/>
          <w:szCs w:val="24"/>
          <w:rtl/>
          <w:lang w:bidi="ar-EG"/>
        </w:rPr>
        <w:t>]</w:t>
      </w:r>
      <w:r w:rsidRPr="00F954E8">
        <w:rPr>
          <w:rFonts w:ascii="Tahoma" w:eastAsia="MS UI Gothic" w:hAnsi="Tahoma" w:cs="Tahoma"/>
          <w:b/>
          <w:bCs/>
          <w:szCs w:val="24"/>
          <w:lang w:eastAsia="zh-CN"/>
        </w:rPr>
        <w:t xml:space="preserve"> </w:t>
      </w:r>
      <w:r>
        <w:rPr>
          <w:rFonts w:ascii="宋体" w:hAnsi="宋体" w:cs="Tahoma" w:hint="eastAsia"/>
          <w:b/>
          <w:bCs/>
          <w:szCs w:val="24"/>
          <w:lang w:eastAsia="zh-CN"/>
        </w:rPr>
        <w:t>中文</w:t>
      </w:r>
      <w:r w:rsidRPr="00F954E8">
        <w:rPr>
          <w:rFonts w:ascii="Tahoma" w:eastAsia="MS UI Gothic" w:hAnsi="Tahoma" w:cs="Tahoma"/>
          <w:b/>
          <w:bCs/>
          <w:szCs w:val="24"/>
          <w:rtl/>
          <w:lang w:bidi="ar-EG"/>
        </w:rPr>
        <w:t>[</w:t>
      </w:r>
      <w:r w:rsidRPr="00F954E8">
        <w:rPr>
          <w:rFonts w:ascii="Courier New" w:hAnsi="Courier New" w:cs="Courier New"/>
          <w:b/>
          <w:bCs/>
          <w:sz w:val="26"/>
          <w:szCs w:val="26"/>
          <w:lang w:eastAsia="zh-CN"/>
        </w:rPr>
        <w:t xml:space="preserve"> </w:t>
      </w:r>
    </w:p>
    <w:p w:rsidR="00EB6455" w:rsidRDefault="00EB6455" w:rsidP="00EB6455">
      <w:pPr>
        <w:bidi w:val="0"/>
        <w:jc w:val="center"/>
        <w:rPr>
          <w:rFonts w:ascii="Courier New" w:hAnsi="Courier New" w:cs="Courier New"/>
          <w:b/>
          <w:bCs/>
          <w:szCs w:val="24"/>
          <w:lang w:eastAsia="zh-CN"/>
        </w:rPr>
      </w:pPr>
    </w:p>
    <w:p w:rsidR="00AE70FB" w:rsidRPr="00AE70FB" w:rsidRDefault="00AE70FB" w:rsidP="00AE70FB">
      <w:pPr>
        <w:ind w:leftChars="202" w:left="485" w:rightChars="404" w:right="970" w:firstLineChars="202" w:firstLine="730"/>
        <w:jc w:val="center"/>
        <w:rPr>
          <w:rFonts w:asciiTheme="minorBidi" w:hAnsiTheme="minorBidi" w:cstheme="minorBidi"/>
          <w:b/>
          <w:bCs/>
          <w:color w:val="800000"/>
          <w:sz w:val="36"/>
        </w:rPr>
      </w:pPr>
      <w:r w:rsidRPr="00AE70FB">
        <w:rPr>
          <w:rFonts w:asciiTheme="minorBidi" w:hAnsiTheme="minorBidi" w:cstheme="minorBidi"/>
          <w:b/>
          <w:bCs/>
          <w:color w:val="800000"/>
          <w:sz w:val="36"/>
          <w:rtl/>
        </w:rPr>
        <w:t>الأخلاق في الإسلام</w:t>
      </w:r>
    </w:p>
    <w:p w:rsidR="00EB6455" w:rsidRPr="00916C52" w:rsidRDefault="00EB6455" w:rsidP="00EB6455">
      <w:pPr>
        <w:bidi w:val="0"/>
        <w:jc w:val="center"/>
        <w:rPr>
          <w:rFonts w:ascii="Courier New" w:hAnsi="Courier New" w:cs="Courier New"/>
          <w:b/>
          <w:bCs/>
          <w:szCs w:val="24"/>
        </w:rPr>
      </w:pPr>
      <w:r w:rsidRPr="00916C52">
        <w:rPr>
          <w:rFonts w:ascii="mylotus" w:hAnsi="mylotus" w:cs="mylotus"/>
          <w:b/>
          <w:bCs/>
          <w:szCs w:val="24"/>
          <w:rtl/>
          <w:lang w:bidi="ar-EG"/>
        </w:rPr>
        <w:t xml:space="preserve"> [</w:t>
      </w:r>
      <w:r>
        <w:rPr>
          <w:rFonts w:ascii="mylotus" w:hAnsi="mylotus" w:cs="mylotus" w:hint="cs"/>
          <w:b/>
          <w:bCs/>
          <w:szCs w:val="24"/>
          <w:rtl/>
          <w:lang w:bidi="ar-EG"/>
        </w:rPr>
        <w:t>ب</w:t>
      </w:r>
      <w:r w:rsidRPr="00916C52">
        <w:rPr>
          <w:rFonts w:ascii="mylotus" w:hAnsi="mylotus" w:cs="mylotus"/>
          <w:b/>
          <w:bCs/>
          <w:szCs w:val="24"/>
          <w:rtl/>
          <w:lang w:bidi="ar-EG"/>
        </w:rPr>
        <w:t>اللغة ا</w:t>
      </w:r>
      <w:r>
        <w:rPr>
          <w:rFonts w:ascii="mylotus" w:hAnsi="mylotus" w:cs="mylotus" w:hint="cs"/>
          <w:b/>
          <w:bCs/>
          <w:szCs w:val="24"/>
          <w:rtl/>
          <w:lang w:bidi="ar-EG"/>
        </w:rPr>
        <w:t>لصينية</w:t>
      </w:r>
      <w:r w:rsidRPr="00916C52">
        <w:rPr>
          <w:rFonts w:ascii="mylotus" w:hAnsi="mylotus" w:cs="mylotus"/>
          <w:b/>
          <w:bCs/>
          <w:szCs w:val="24"/>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AE70FB" w:rsidRPr="0022215F" w:rsidRDefault="00AE70FB" w:rsidP="00AE70FB">
      <w:pPr>
        <w:spacing w:line="284" w:lineRule="atLeast"/>
        <w:jc w:val="center"/>
        <w:rPr>
          <w:rFonts w:ascii="华文新魏" w:eastAsia="华文新魏" w:hAnsi="宋体"/>
          <w:kern w:val="28"/>
          <w:sz w:val="28"/>
          <w:szCs w:val="28"/>
          <w:lang w:eastAsia="zh-CN"/>
        </w:rPr>
      </w:pPr>
      <w:r>
        <w:rPr>
          <w:rFonts w:ascii="华文新魏" w:eastAsia="华文新魏" w:hAnsi="宋体" w:hint="eastAsia"/>
          <w:kern w:val="28"/>
          <w:sz w:val="28"/>
          <w:szCs w:val="28"/>
          <w:lang w:eastAsia="zh-CN"/>
        </w:rPr>
        <w:t>作者：</w:t>
      </w:r>
      <w:r w:rsidRPr="00FB1658">
        <w:rPr>
          <w:rFonts w:ascii="华文新魏" w:eastAsia="华文新魏" w:hAnsi="宋体"/>
          <w:kern w:val="28"/>
          <w:sz w:val="28"/>
          <w:szCs w:val="28"/>
          <w:lang w:eastAsia="zh-CN"/>
        </w:rPr>
        <w:t>赛尔德</w:t>
      </w:r>
      <w:r w:rsidRPr="00FB1658">
        <w:rPr>
          <w:rFonts w:ascii="华文新魏" w:eastAsia="华文新魏" w:hAnsi="宋体" w:hint="eastAsia"/>
          <w:kern w:val="28"/>
          <w:sz w:val="28"/>
          <w:szCs w:val="28"/>
        </w:rPr>
        <w:t>・</w:t>
      </w:r>
      <w:r w:rsidRPr="00FB1658">
        <w:rPr>
          <w:rFonts w:ascii="华文新魏" w:eastAsia="华文新魏" w:hAnsi="宋体" w:hint="eastAsia"/>
          <w:kern w:val="28"/>
          <w:sz w:val="28"/>
          <w:szCs w:val="28"/>
          <w:lang w:eastAsia="zh-CN"/>
        </w:rPr>
        <w:t>伊布拉</w:t>
      </w:r>
      <w:r w:rsidRPr="00FB1658">
        <w:rPr>
          <w:rFonts w:ascii="华文新魏" w:eastAsia="华文新魏" w:hAnsi="宋体"/>
          <w:kern w:val="28"/>
          <w:sz w:val="28"/>
          <w:szCs w:val="28"/>
          <w:lang w:eastAsia="zh-CN"/>
        </w:rPr>
        <w:t>欣</w:t>
      </w:r>
      <w:r w:rsidRPr="00FB1658">
        <w:rPr>
          <w:rFonts w:ascii="华文新魏" w:eastAsia="华文新魏" w:hAnsi="宋体" w:hint="eastAsia"/>
          <w:kern w:val="28"/>
          <w:sz w:val="28"/>
          <w:szCs w:val="28"/>
        </w:rPr>
        <w:t>・</w:t>
      </w:r>
      <w:r w:rsidRPr="00FB1658">
        <w:rPr>
          <w:rFonts w:ascii="华文新魏" w:eastAsia="华文新魏" w:hAnsi="宋体" w:hint="eastAsia"/>
          <w:kern w:val="28"/>
          <w:sz w:val="28"/>
          <w:szCs w:val="28"/>
          <w:lang w:eastAsia="zh-CN"/>
        </w:rPr>
        <w:t>铁国玺</w:t>
      </w:r>
    </w:p>
    <w:p w:rsidR="00AE70FB" w:rsidRPr="00A85C8F" w:rsidRDefault="00AE70FB" w:rsidP="00AE70FB">
      <w:pPr>
        <w:spacing w:line="284" w:lineRule="atLeast"/>
        <w:jc w:val="center"/>
        <w:rPr>
          <w:rFonts w:cs="KFGQPC Uthman Taha Naskh"/>
          <w:sz w:val="28"/>
          <w:szCs w:val="28"/>
          <w:rtl/>
        </w:rPr>
      </w:pPr>
      <w:r>
        <w:rPr>
          <w:rFonts w:ascii="mylotus" w:hAnsi="mylotus" w:cs="KFGQPC Uthman Taha Naskh" w:hint="cs"/>
          <w:sz w:val="32"/>
          <w:szCs w:val="32"/>
          <w:rtl/>
          <w:lang w:bidi="ar-EG"/>
        </w:rPr>
        <w:t>مؤلف:</w:t>
      </w:r>
      <w:r>
        <w:rPr>
          <w:rFonts w:ascii="mylotus" w:hAnsi="mylotus" w:cs="KFGQPC Uthman Taha Naskh" w:hint="cs"/>
          <w:sz w:val="32"/>
          <w:szCs w:val="32"/>
          <w:rtl/>
        </w:rPr>
        <w:t xml:space="preserve"> </w:t>
      </w:r>
      <w:r>
        <w:rPr>
          <w:rFonts w:ascii="mylotus" w:hAnsi="mylotus" w:cs="KFGQPC Uthman Taha Naskh" w:hint="eastAsia"/>
          <w:sz w:val="32"/>
          <w:szCs w:val="32"/>
          <w:lang w:bidi="ar-EG"/>
        </w:rPr>
        <w:t xml:space="preserve"> </w:t>
      </w:r>
      <w:r>
        <w:rPr>
          <w:rFonts w:ascii="mylotus" w:hAnsi="mylotus" w:cs="KFGQPC Uthman Taha Naskh" w:hint="cs"/>
          <w:sz w:val="32"/>
          <w:szCs w:val="32"/>
          <w:rtl/>
          <w:lang w:bidi="ar-EG"/>
        </w:rPr>
        <w:t>سعد بن إبرهيم</w:t>
      </w:r>
      <w:r>
        <w:rPr>
          <w:rFonts w:ascii="mylotus" w:hAnsi="mylotus" w:cs="KFGQPC Uthman Taha Naskh" w:hint="cs"/>
          <w:sz w:val="32"/>
          <w:szCs w:val="32"/>
          <w:rtl/>
          <w:lang w:bidi="ar-EG"/>
        </w:rPr>
        <w:t xml:space="preserve"> الصيني</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华文行楷" w:eastAsia="华文行楷" w:hAnsi="TR Bahamas Light"/>
          <w:b/>
          <w:bCs/>
          <w:color w:val="800000"/>
          <w:sz w:val="48"/>
          <w:szCs w:val="48"/>
          <w:lang w:val="tr-TR"/>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华文行楷" w:eastAsia="华文行楷" w:hAnsi="TR Bahamas Light"/>
          <w:b/>
          <w:bCs/>
          <w:color w:val="800000"/>
          <w:sz w:val="48"/>
          <w:szCs w:val="48"/>
          <w:lang w:val="tr-TR"/>
        </w:rPr>
      </w:pPr>
    </w:p>
    <w:p w:rsidR="00EB6455" w:rsidRPr="00393B68" w:rsidRDefault="00EB6455" w:rsidP="00EB6455">
      <w:pPr>
        <w:bidi w:val="0"/>
        <w:spacing w:before="150" w:after="150" w:line="284" w:lineRule="atLeast"/>
        <w:jc w:val="center"/>
        <w:rPr>
          <w:rFonts w:ascii="mylotus" w:hAnsi="mylotus" w:cs="mylotus"/>
          <w:b/>
          <w:bCs/>
          <w:sz w:val="32"/>
          <w:szCs w:val="32"/>
        </w:rPr>
      </w:pPr>
    </w:p>
    <w:p w:rsidR="00EB6455" w:rsidRPr="00F954E8" w:rsidRDefault="00EB6455" w:rsidP="00856385">
      <w:pPr>
        <w:bidi w:val="0"/>
        <w:spacing w:before="150" w:after="150" w:line="284" w:lineRule="atLeast"/>
        <w:jc w:val="center"/>
        <w:rPr>
          <w:rFonts w:ascii="TR Bahamas Light" w:hAnsi="TR Bahamas Light" w:cs="AL-Mohanad"/>
          <w:b/>
          <w:bCs/>
          <w:sz w:val="32"/>
          <w:szCs w:val="32"/>
          <w:lang w:eastAsia="zh-CN"/>
        </w:rPr>
      </w:pPr>
      <w:r w:rsidRPr="0007149E">
        <w:rPr>
          <w:rFonts w:ascii="华文行楷" w:eastAsia="华文行楷" w:hAnsi="TR Bahamas Light" w:hint="eastAsia"/>
          <w:b/>
          <w:bCs/>
          <w:color w:val="800000"/>
          <w:sz w:val="32"/>
          <w:szCs w:val="32"/>
          <w:lang w:val="tr-TR" w:eastAsia="zh-CN"/>
        </w:rPr>
        <w:t>校正</w:t>
      </w:r>
      <w:r w:rsidRPr="0007149E">
        <w:rPr>
          <w:rFonts w:ascii="华文行楷" w:eastAsia="华文行楷" w:hAnsi="TR Bahamas Light"/>
          <w:b/>
          <w:bCs/>
          <w:color w:val="800000"/>
          <w:sz w:val="32"/>
          <w:szCs w:val="32"/>
          <w:lang w:val="tr-TR" w:eastAsia="zh-CN"/>
        </w:rPr>
        <w:t>:</w:t>
      </w:r>
      <w:r w:rsidRPr="00F954E8">
        <w:rPr>
          <w:rFonts w:ascii="TR Bahamas Light" w:hAnsi="TR Bahamas Light" w:cs="mylotus"/>
          <w:b/>
          <w:bCs/>
          <w:sz w:val="32"/>
          <w:szCs w:val="32"/>
          <w:lang w:eastAsia="zh-CN"/>
        </w:rPr>
        <w:t xml:space="preserve"> </w:t>
      </w:r>
      <w:r w:rsidR="00856385" w:rsidRPr="00856385">
        <w:rPr>
          <w:rFonts w:asciiTheme="minorEastAsia" w:eastAsiaTheme="minorEastAsia" w:hAnsiTheme="minorEastAsia" w:hint="eastAsia"/>
          <w:kern w:val="28"/>
          <w:sz w:val="28"/>
          <w:szCs w:val="28"/>
          <w:lang w:eastAsia="zh-CN"/>
        </w:rPr>
        <w:t>伊斯兰之家中文小组</w:t>
      </w:r>
    </w:p>
    <w:p w:rsidR="00EB6455" w:rsidRPr="00F954E8" w:rsidRDefault="00EB6455" w:rsidP="00856385">
      <w:pPr>
        <w:bidi w:val="0"/>
        <w:spacing w:before="150" w:after="150" w:line="284" w:lineRule="atLeast"/>
        <w:jc w:val="center"/>
        <w:rPr>
          <w:rFonts w:ascii="mylotus" w:hAnsi="mylotus" w:cs="mylotus"/>
          <w:b/>
          <w:bCs/>
          <w:sz w:val="32"/>
          <w:szCs w:val="32"/>
        </w:rPr>
      </w:pPr>
      <w:r w:rsidRPr="00F954E8">
        <w:rPr>
          <w:rFonts w:ascii="mylotus" w:hAnsi="mylotus" w:cs="mylotus" w:hint="cs"/>
          <w:b/>
          <w:bCs/>
          <w:sz w:val="32"/>
          <w:szCs w:val="32"/>
          <w:rtl/>
        </w:rPr>
        <w:t>مراجعة</w:t>
      </w:r>
      <w:r w:rsidRPr="00F954E8">
        <w:rPr>
          <w:rFonts w:ascii="mylotus" w:hAnsi="mylotus" w:cs="mylotus"/>
          <w:b/>
          <w:bCs/>
          <w:sz w:val="32"/>
          <w:szCs w:val="32"/>
          <w:rtl/>
        </w:rPr>
        <w:t xml:space="preserve">: </w:t>
      </w:r>
      <w:r w:rsidR="00856385" w:rsidRPr="00C70045">
        <w:rPr>
          <w:rFonts w:ascii="mylotus" w:hAnsi="mylotus" w:cs="KFGQPC Uthman Taha Naskh" w:hint="cs"/>
          <w:sz w:val="32"/>
          <w:szCs w:val="32"/>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华文行楷" w:eastAsia="华文行楷" w:hAnsi="TR Bahamas Light"/>
          <w:b/>
          <w:bCs/>
          <w:color w:val="800000"/>
          <w:sz w:val="48"/>
          <w:szCs w:val="48"/>
          <w:lang w:val="tr-TR"/>
        </w:rPr>
      </w:pPr>
    </w:p>
    <w:p w:rsidR="00EB6455" w:rsidRPr="00F954E8" w:rsidRDefault="00EB6455" w:rsidP="00EB6455">
      <w:pPr>
        <w:bidi w:val="0"/>
        <w:spacing w:before="150" w:after="150" w:line="284" w:lineRule="atLeast"/>
        <w:jc w:val="center"/>
        <w:rPr>
          <w:rFonts w:ascii="TR Bahamas Light" w:hAnsi="TR Bahamas Light" w:cs="mylotus"/>
          <w:b/>
          <w:bCs/>
          <w:sz w:val="32"/>
          <w:szCs w:val="32"/>
          <w:lang w:eastAsia="zh-CN"/>
        </w:rPr>
      </w:pPr>
      <w:r w:rsidRPr="00393B68">
        <w:rPr>
          <w:rFonts w:ascii="华文行楷" w:eastAsia="华文行楷" w:hint="eastAsia"/>
          <w:b/>
          <w:bCs/>
          <w:sz w:val="32"/>
          <w:szCs w:val="32"/>
          <w:lang w:eastAsia="zh-CN"/>
        </w:rPr>
        <w:t>沙特利雅得莱布宣传指导合作办公室</w:t>
      </w:r>
    </w:p>
    <w:p w:rsidR="00EB6455" w:rsidRPr="00F954E8" w:rsidRDefault="00EB6455" w:rsidP="00EB6455">
      <w:pPr>
        <w:bidi w:val="0"/>
        <w:spacing w:before="150" w:after="150" w:line="284" w:lineRule="atLeast"/>
        <w:jc w:val="center"/>
        <w:rPr>
          <w:rFonts w:ascii="mylotus" w:hAnsi="mylotus" w:cs="mylotus"/>
          <w:b/>
          <w:bCs/>
          <w:sz w:val="32"/>
          <w:szCs w:val="32"/>
          <w:rtl/>
        </w:rPr>
      </w:pPr>
      <w:r w:rsidRPr="00F954E8">
        <w:rPr>
          <w:rFonts w:ascii="mylotus" w:hAnsi="mylotus" w:cs="mylotus"/>
          <w:b/>
          <w:bCs/>
          <w:sz w:val="32"/>
          <w:szCs w:val="32"/>
          <w:rtl/>
        </w:rPr>
        <w:t xml:space="preserve"> </w:t>
      </w:r>
      <w:r w:rsidRPr="00F954E8">
        <w:rPr>
          <w:rFonts w:ascii="mylotus" w:hAnsi="mylotus" w:cs="mylotus" w:hint="cs"/>
          <w:b/>
          <w:bCs/>
          <w:sz w:val="32"/>
          <w:szCs w:val="32"/>
          <w:rtl/>
        </w:rPr>
        <w:t>المكتب التعاوني للدعوة وتوعية الجاليات بالربوة بمدينة الرياض</w:t>
      </w:r>
    </w:p>
    <w:p w:rsidR="00EB6455" w:rsidRPr="00856385" w:rsidRDefault="00EB6455" w:rsidP="00856385">
      <w:pPr>
        <w:bidi w:val="0"/>
        <w:spacing w:before="120" w:after="120"/>
        <w:ind w:firstLine="567"/>
        <w:jc w:val="center"/>
        <w:rPr>
          <w:rFonts w:ascii="MS UI Gothic" w:eastAsiaTheme="minorEastAsia" w:hAnsi="MS UI Gothic" w:cs="Times New Roman"/>
          <w:b/>
          <w:bCs/>
          <w:sz w:val="32"/>
          <w:szCs w:val="32"/>
          <w:lang w:eastAsia="zh-CN"/>
        </w:rPr>
      </w:pPr>
      <w:r>
        <w:rPr>
          <w:rFonts w:ascii="MS UI Gothic" w:eastAsia="MS UI Gothic" w:hAnsi="MS UI Gothic" w:cs="Times New Roman"/>
          <w:b/>
          <w:bCs/>
          <w:sz w:val="32"/>
          <w:szCs w:val="32"/>
        </w:rPr>
        <w:t>201</w:t>
      </w:r>
      <w:r w:rsidR="00856385">
        <w:rPr>
          <w:rFonts w:ascii="MS UI Gothic" w:eastAsiaTheme="minorEastAsia" w:hAnsi="MS UI Gothic" w:cs="Times New Roman" w:hint="eastAsia"/>
          <w:b/>
          <w:bCs/>
          <w:sz w:val="32"/>
          <w:szCs w:val="32"/>
          <w:lang w:eastAsia="zh-CN"/>
        </w:rPr>
        <w:t>4</w:t>
      </w:r>
      <w:r>
        <w:rPr>
          <w:rFonts w:ascii="MS UI Gothic" w:eastAsia="MS UI Gothic" w:hAnsi="MS UI Gothic" w:cs="Times New Roman"/>
          <w:b/>
          <w:bCs/>
          <w:sz w:val="32"/>
          <w:szCs w:val="32"/>
        </w:rPr>
        <w:t xml:space="preserve"> - 14</w:t>
      </w:r>
      <w:r w:rsidR="00856385">
        <w:rPr>
          <w:rFonts w:ascii="MS UI Gothic" w:eastAsiaTheme="minorEastAsia" w:hAnsi="MS UI Gothic" w:cs="Times New Roman" w:hint="eastAsia"/>
          <w:b/>
          <w:bCs/>
          <w:sz w:val="32"/>
          <w:szCs w:val="32"/>
          <w:lang w:eastAsia="zh-CN"/>
        </w:rPr>
        <w:t>35</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lang w:eastAsia="zh-CN"/>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EB6455" w:rsidRDefault="00EB6455" w:rsidP="00EB6455">
      <w:pPr>
        <w:bidi w:val="0"/>
        <w:spacing w:line="460" w:lineRule="exact"/>
        <w:jc w:val="center"/>
        <w:rPr>
          <w:rFonts w:ascii="Calibri" w:eastAsia="华文行楷" w:hAnsi="Calibri"/>
          <w:b/>
          <w:bCs/>
          <w:sz w:val="32"/>
          <w:szCs w:val="32"/>
          <w:lang w:eastAsia="zh-CN"/>
        </w:rPr>
      </w:pPr>
    </w:p>
    <w:p w:rsidR="00AE70FB" w:rsidRPr="00AE70FB" w:rsidRDefault="00EB6455" w:rsidP="00AE70FB">
      <w:pPr>
        <w:jc w:val="center"/>
        <w:rPr>
          <w:rFonts w:cs="Arial"/>
          <w:color w:val="auto"/>
          <w:kern w:val="2"/>
          <w:sz w:val="21"/>
          <w:szCs w:val="24"/>
          <w:lang w:eastAsia="zh-CN"/>
        </w:rPr>
      </w:pPr>
      <w:r>
        <w:rPr>
          <w:rFonts w:ascii="Calibri" w:eastAsia="华文行楷" w:hAnsi="Calibri"/>
          <w:b/>
          <w:bCs/>
          <w:sz w:val="32"/>
          <w:szCs w:val="32"/>
          <w:lang w:eastAsia="zh-CN"/>
        </w:rPr>
        <w:br w:type="page"/>
      </w:r>
      <w:r w:rsidR="00AE70FB" w:rsidRPr="00AE70FB">
        <w:rPr>
          <w:rFonts w:cs="Arial"/>
          <w:noProof/>
          <w:color w:val="auto"/>
          <w:kern w:val="2"/>
          <w:sz w:val="21"/>
          <w:szCs w:val="24"/>
          <w:lang w:eastAsia="zh-CN"/>
        </w:rPr>
        <w:lastRenderedPageBreak/>
        <w:drawing>
          <wp:inline distT="0" distB="0" distL="0" distR="0" wp14:anchorId="67A2832D" wp14:editId="608F4B48">
            <wp:extent cx="1795780" cy="313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5780" cy="313055"/>
                    </a:xfrm>
                    <a:prstGeom prst="rect">
                      <a:avLst/>
                    </a:prstGeom>
                    <a:noFill/>
                    <a:ln>
                      <a:noFill/>
                    </a:ln>
                  </pic:spPr>
                </pic:pic>
              </a:graphicData>
            </a:graphic>
          </wp:inline>
        </w:drawing>
      </w:r>
    </w:p>
    <w:p w:rsidR="00AE70FB" w:rsidRPr="00AE70FB" w:rsidRDefault="00AE70FB" w:rsidP="00AE70FB">
      <w:pPr>
        <w:widowControl w:val="0"/>
        <w:bidi w:val="0"/>
        <w:spacing w:beforeLines="50" w:before="120" w:afterLines="50" w:after="120" w:line="460" w:lineRule="exact"/>
        <w:jc w:val="center"/>
        <w:rPr>
          <w:rFonts w:ascii="华文行楷" w:eastAsia="华文行楷" w:cs="KFGQPC Uthman Taha Naskh"/>
          <w:b/>
          <w:bCs/>
          <w:color w:val="333399"/>
          <w:kern w:val="2"/>
          <w:sz w:val="32"/>
          <w:szCs w:val="32"/>
          <w:lang w:eastAsia="zh-CN"/>
        </w:rPr>
      </w:pPr>
      <w:r w:rsidRPr="00AE70FB">
        <w:rPr>
          <w:rFonts w:ascii="华文行楷" w:eastAsia="华文行楷" w:cs="KFGQPC Uthman Taha Naskh" w:hint="eastAsia"/>
          <w:b/>
          <w:bCs/>
          <w:color w:val="333399"/>
          <w:kern w:val="2"/>
          <w:sz w:val="32"/>
          <w:szCs w:val="32"/>
          <w:lang w:eastAsia="zh-CN"/>
        </w:rPr>
        <w:t>奉普慈特慈的真主之名</w:t>
      </w:r>
    </w:p>
    <w:p w:rsidR="00AE70FB" w:rsidRPr="00AE70FB" w:rsidRDefault="00AE70FB" w:rsidP="00AE70FB">
      <w:pPr>
        <w:widowControl w:val="0"/>
        <w:bidi w:val="0"/>
        <w:spacing w:beforeLines="50" w:before="120" w:afterLines="50" w:after="120"/>
        <w:ind w:firstLine="570"/>
        <w:jc w:val="both"/>
        <w:rPr>
          <w:rFonts w:cs="Arial"/>
          <w:color w:val="auto"/>
          <w:kern w:val="2"/>
          <w:sz w:val="28"/>
          <w:szCs w:val="28"/>
          <w:rtl/>
          <w:lang w:eastAsia="zh-CN"/>
        </w:rPr>
      </w:pPr>
    </w:p>
    <w:p w:rsidR="00AE70FB" w:rsidRPr="00AE70FB" w:rsidRDefault="00AE70FB" w:rsidP="00AE70FB">
      <w:pPr>
        <w:widowControl w:val="0"/>
        <w:bidi w:val="0"/>
        <w:spacing w:beforeLines="50" w:before="120" w:afterLines="50" w:after="120"/>
        <w:ind w:firstLine="570"/>
        <w:jc w:val="both"/>
        <w:rPr>
          <w:rFonts w:asciiTheme="minorEastAsia" w:hAnsiTheme="minorEastAsia" w:cs="Arial"/>
          <w:color w:val="auto"/>
          <w:kern w:val="2"/>
          <w:sz w:val="28"/>
          <w:szCs w:val="28"/>
          <w:lang w:eastAsia="zh-CN"/>
        </w:rPr>
      </w:pPr>
      <w:r w:rsidRPr="00AE70FB">
        <w:rPr>
          <w:rFonts w:asciiTheme="minorEastAsia" w:hAnsiTheme="minorEastAsia" w:cs="Arial" w:hint="eastAsia"/>
          <w:color w:val="auto"/>
          <w:kern w:val="2"/>
          <w:sz w:val="28"/>
          <w:szCs w:val="28"/>
          <w:lang w:eastAsia="zh-CN"/>
        </w:rPr>
        <w:t>伊斯兰教是讲究道德的宗教，我仅就伊斯兰教的厚德观念阐述一下伊斯兰教的观点。</w:t>
      </w:r>
    </w:p>
    <w:p w:rsidR="00AE70FB" w:rsidRPr="00AE70FB" w:rsidRDefault="00AE70FB" w:rsidP="00AE70FB">
      <w:pPr>
        <w:widowControl w:val="0"/>
        <w:bidi w:val="0"/>
        <w:spacing w:beforeLines="50" w:before="120" w:afterLines="50" w:after="120"/>
        <w:ind w:hanging="284"/>
        <w:jc w:val="both"/>
        <w:rPr>
          <w:rFonts w:asciiTheme="minorEastAsia" w:hAnsiTheme="minorEastAsia" w:cs="Arial"/>
          <w:color w:val="auto"/>
          <w:kern w:val="2"/>
          <w:sz w:val="28"/>
          <w:szCs w:val="28"/>
          <w:lang w:eastAsia="zh-CN"/>
        </w:rPr>
      </w:pPr>
      <w:r w:rsidRPr="00AE70FB">
        <w:rPr>
          <w:rFonts w:asciiTheme="minorEastAsia" w:hAnsiTheme="minorEastAsia" w:cs="Arial" w:hint="eastAsia"/>
          <w:noProof/>
          <w:color w:val="auto"/>
          <w:kern w:val="2"/>
          <w:sz w:val="28"/>
          <w:szCs w:val="28"/>
          <w:lang w:eastAsia="zh-CN"/>
        </w:rPr>
        <w:drawing>
          <wp:anchor distT="0" distB="0" distL="114300" distR="114300" simplePos="0" relativeHeight="251659264" behindDoc="0" locked="0" layoutInCell="1" allowOverlap="1" wp14:anchorId="6DC81E97" wp14:editId="314A7168">
            <wp:simplePos x="0" y="0"/>
            <wp:positionH relativeFrom="column">
              <wp:posOffset>3214370</wp:posOffset>
            </wp:positionH>
            <wp:positionV relativeFrom="paragraph">
              <wp:posOffset>158115</wp:posOffset>
            </wp:positionV>
            <wp:extent cx="2724150" cy="2724150"/>
            <wp:effectExtent l="0" t="0" r="0" b="0"/>
            <wp:wrapSquare wrapText="bothSides"/>
            <wp:docPr id="2" name="图片 2" descr="c:\users\ADMINI~1\appdata\roaming\360se6\USERDA~1\Tem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roaming\360se6\USERDA~1\Temp\0.jpg"/>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200000"/>
                              </a14:imgEffect>
                            </a14:imgLayer>
                          </a14:imgProps>
                        </a:ext>
                      </a:extLst>
                    </a:blip>
                    <a:srcRect/>
                    <a:stretch>
                      <a:fillRect/>
                    </a:stretch>
                  </pic:blipFill>
                  <pic:spPr bwMode="auto">
                    <a:xfrm>
                      <a:off x="0" y="0"/>
                      <a:ext cx="2724150" cy="2724150"/>
                    </a:xfrm>
                    <a:prstGeom prst="rect">
                      <a:avLst/>
                    </a:prstGeom>
                    <a:noFill/>
                    <a:ln w="9525">
                      <a:noFill/>
                      <a:miter lim="800000"/>
                      <a:headEnd/>
                      <a:tailEnd/>
                    </a:ln>
                  </pic:spPr>
                </pic:pic>
              </a:graphicData>
            </a:graphic>
          </wp:anchor>
        </w:drawing>
      </w:r>
      <w:r w:rsidRPr="00AE70FB">
        <w:rPr>
          <w:rFonts w:asciiTheme="minorEastAsia" w:hAnsiTheme="minorEastAsia" w:cs="Arial" w:hint="eastAsia"/>
          <w:color w:val="auto"/>
          <w:kern w:val="2"/>
          <w:sz w:val="28"/>
          <w:szCs w:val="28"/>
          <w:lang w:eastAsia="zh-CN"/>
        </w:rPr>
        <w:t xml:space="preserve">      </w:t>
      </w:r>
      <w:r w:rsidRPr="00AE70FB">
        <w:rPr>
          <w:rFonts w:asciiTheme="minorEastAsia" w:hAnsiTheme="minorEastAsia" w:cs="Arial" w:hint="eastAsia"/>
          <w:b/>
          <w:bCs/>
          <w:color w:val="auto"/>
          <w:kern w:val="2"/>
          <w:sz w:val="28"/>
          <w:szCs w:val="28"/>
          <w:lang w:eastAsia="zh-CN"/>
        </w:rPr>
        <w:t>一、 教德：</w:t>
      </w:r>
      <w:r w:rsidRPr="00AE70FB">
        <w:rPr>
          <w:rFonts w:asciiTheme="minorEastAsia" w:hAnsiTheme="minorEastAsia" w:cs="Arial" w:hint="eastAsia"/>
          <w:color w:val="auto"/>
          <w:kern w:val="2"/>
          <w:sz w:val="28"/>
          <w:szCs w:val="28"/>
          <w:lang w:eastAsia="zh-CN"/>
        </w:rPr>
        <w:t>伊斯兰教以德立教，以德传教，以德兴教，最为重视道德在宗教中的作用，所以伊斯兰教认为，这个宗教是个道德宗教，是以道德教化作为首要任务的宗教。尤其在确认真主属性和解释真主创造世界等问题上，更是高举道德的旗帜。说到“教德”这个词，并不是泛指宗教道德，而是在说明伊斯兰教秉承着道德的传统和具有普世的道德高位并具有道德属性。在古兰经中有关伊斯兰教，尤其是对独一真主的描述，代表了伊斯兰教的道德准则，真主不仅仅是造物主，而且还是道德的化身，为什么这么说呢，我们看看古兰经如何描述真主的德行，在《古兰经》中，真主有99个尊名。也就是和真主安拉同义的名字，这些名字都是指称真主的，《古兰经》中提到了真主安拉的许多美妙的名称，而且在相应的语境中反复地出现。所以很有必要注意安拉尊名的概括意义与综合含义。这些尊名的解析都从不同角度阐述了真主安拉的大德与至高的品级。把伊斯兰教的道德归应为真主的品格。这就从根本上解决的宗教的道德化归属，确立了伊斯兰教的道德属性，确立了以德立教。在描述真主创造宇宙和世界和人类时，体现了道德的力量，号召穆斯林遵从道德教化，学习真主的一切德行。</w:t>
      </w:r>
    </w:p>
    <w:p w:rsidR="00AE70FB" w:rsidRPr="00AE70FB" w:rsidRDefault="00AE70FB" w:rsidP="00AE70FB">
      <w:pPr>
        <w:widowControl w:val="0"/>
        <w:bidi w:val="0"/>
        <w:spacing w:before="50" w:afterLines="50" w:after="120"/>
        <w:jc w:val="both"/>
        <w:rPr>
          <w:rFonts w:asciiTheme="minorEastAsia" w:hAnsiTheme="minorEastAsia" w:cs="Arial"/>
          <w:color w:val="auto"/>
          <w:kern w:val="2"/>
          <w:sz w:val="28"/>
          <w:szCs w:val="28"/>
          <w:lang w:eastAsia="zh-CN"/>
        </w:rPr>
      </w:pPr>
      <w:r w:rsidRPr="00AE70FB">
        <w:rPr>
          <w:rFonts w:asciiTheme="minorEastAsia" w:hAnsiTheme="minorEastAsia" w:cs="Arial" w:hint="eastAsia"/>
          <w:color w:val="auto"/>
          <w:kern w:val="2"/>
          <w:sz w:val="28"/>
          <w:szCs w:val="28"/>
          <w:lang w:eastAsia="zh-CN"/>
        </w:rPr>
        <w:t xml:space="preserve">   </w:t>
      </w:r>
      <w:r w:rsidRPr="00AE70FB">
        <w:rPr>
          <w:rFonts w:asciiTheme="minorEastAsia" w:hAnsiTheme="minorEastAsia" w:cs="Arial" w:hint="eastAsia"/>
          <w:b/>
          <w:bCs/>
          <w:color w:val="auto"/>
          <w:kern w:val="2"/>
          <w:sz w:val="28"/>
          <w:szCs w:val="28"/>
          <w:lang w:eastAsia="zh-CN"/>
        </w:rPr>
        <w:t xml:space="preserve"> 二、法德：</w:t>
      </w:r>
      <w:r w:rsidRPr="00AE70FB">
        <w:rPr>
          <w:rFonts w:asciiTheme="minorEastAsia" w:hAnsiTheme="minorEastAsia" w:cs="Arial" w:hint="eastAsia"/>
          <w:color w:val="auto"/>
          <w:kern w:val="2"/>
          <w:sz w:val="28"/>
          <w:szCs w:val="28"/>
          <w:lang w:eastAsia="zh-CN"/>
        </w:rPr>
        <w:t>伊斯兰教在确立了以德立教，真主是道德的最高表现形式之外，在建立伊斯兰教法规方面也体现了以德立法和法中见德的特性，伊斯兰教的教法来源于《古兰经》、圣训、类比和决议。具有不同于其他的特点。第一，它的立法基础是天启的。伊斯兰教法区别于其它人为法律在于它的立法来源，即安拉的《古兰经》与先知的圣训。每一位致力于剖析教法论断的创制者，都必须依靠这两种源泉。所有直接从这两个源泉中分支出现律例、原则也都是依照这两个源泉。第二，它包含了生活所有的要求。伊斯兰教法区别于其它法律在于它容纳了人类的三种关系：人与主的关系;人与自然的关系;人与社会的关系，它服务于家教、社会及整个人类：它既包括信仰、功修，又包括道德、交往;它阐明权利和义务，并接收真主的明、暗的督察：它</w:t>
      </w:r>
      <w:r w:rsidRPr="00AE70FB">
        <w:rPr>
          <w:rFonts w:asciiTheme="minorEastAsia" w:hAnsiTheme="minorEastAsia" w:cs="Arial" w:hint="eastAsia"/>
          <w:color w:val="auto"/>
          <w:kern w:val="2"/>
          <w:sz w:val="28"/>
          <w:szCs w:val="28"/>
          <w:lang w:eastAsia="zh-CN"/>
        </w:rPr>
        <w:lastRenderedPageBreak/>
        <w:t>规定了生活的专门制度和普通制度。具体地说，它包括：1、宗教功修如：清洁、礼拜、封斋、朝觐、天课、许愿、发誓等人与真主之间的。 2、社会交往如：婚约、经商、惩罚、担保、礼节等人与人之间的。第三，它在宗教上具有合法与非法判断的特点。其中包括人为裁判和宗教裁判两种。第四，它与道德紧密联系。我们知道，任何法律的设置，都会将宏扬高尚的社会道德置于较高的地位，因为这是维护制度、安定社会的手段，而伊斯兰教法尤其重视道德方面的建设，它重视美德，倡导高尚的典范;它制定各种功修目的是为了纯洁人们的心灵，使其远离禁止：它禁止高利贷，目的是倡导人与人之间的合作、宽容的精神，并保护需求者;它提倡友爱和互信，反对欺骗和不义;它尊重人权，号召守约;它禁止饮酒，保护人区别善恶的标记——理智。第五，它对于违法者实行今后两世的惩罚。一般法律对于违法者只限定今世上的惩罚，而教法还要对人们内心的恶念如嫉妒、仇视等进行惩罚，尽管这些内心的犯罪不足以得到今世的惩罚，因为伊斯兰教法重视倡导使人行好，止人做恶。第六，它同时重视个人利益和集体利益。当两种利益相冲突时，首先考虑集体利益，当两个人利益相冲突时，首先考虑受损较大的一方的利益，例如：鼓励集体礼拜，鼓励交易，反对高利贷等。第七，它是永久的、适于长期执行的法律。原则性的教法是不会改变的，但涉及到推理、习俗等的利益时，可以视环境、人文、时间等作适当的调整，但这种调整充其量也只是在社会交往方面，而涉及信仰和宗教功修方面的教法是不会变更的。</w:t>
      </w:r>
    </w:p>
    <w:p w:rsidR="00AE70FB" w:rsidRPr="00AE70FB" w:rsidRDefault="00AE70FB" w:rsidP="00AE70FB">
      <w:pPr>
        <w:widowControl w:val="0"/>
        <w:bidi w:val="0"/>
        <w:spacing w:before="50" w:afterLines="50" w:after="120"/>
        <w:jc w:val="both"/>
        <w:rPr>
          <w:rFonts w:asciiTheme="minorEastAsia" w:hAnsiTheme="minorEastAsia" w:cs="Arial"/>
          <w:color w:val="auto"/>
          <w:kern w:val="2"/>
          <w:sz w:val="28"/>
          <w:szCs w:val="28"/>
          <w:lang w:eastAsia="zh-CN"/>
        </w:rPr>
      </w:pPr>
      <w:r w:rsidRPr="00AE70FB">
        <w:rPr>
          <w:rFonts w:asciiTheme="minorEastAsia" w:hAnsiTheme="minorEastAsia" w:cs="Arial" w:hint="eastAsia"/>
          <w:color w:val="auto"/>
          <w:kern w:val="2"/>
          <w:sz w:val="28"/>
          <w:szCs w:val="28"/>
          <w:lang w:eastAsia="zh-CN"/>
        </w:rPr>
        <w:t xml:space="preserve">    通过以上对教法特点的描述，我们明晰的看到，教法的确立也是体现了伊斯兰道德的属性，以德立法，具体的事例我们可以从宗教法(念礼斋课朝)，社会法(婚姻法，继承法，经济法等)等条文中感受到。以婚姻为例，婚姻对人类而言是十分重要的，通过婚姻，不仅能满足人们的生理需要，而且在心理上、情感上、精神上，也能给人莫大的快慰;同时还可以生儿育女，完成种族的繁衍，促进人类的发展与进步。穆斯林的婚姻制度，是根据《古兰经》、圣训和教法而订的。</w:t>
      </w:r>
    </w:p>
    <w:p w:rsidR="00AE70FB" w:rsidRPr="00AE70FB" w:rsidRDefault="00AE70FB" w:rsidP="00AE70FB">
      <w:pPr>
        <w:widowControl w:val="0"/>
        <w:bidi w:val="0"/>
        <w:spacing w:before="50" w:afterLines="50" w:after="120"/>
        <w:jc w:val="both"/>
        <w:rPr>
          <w:rFonts w:asciiTheme="minorEastAsia" w:hAnsiTheme="minorEastAsia" w:cs="Arial"/>
          <w:color w:val="auto"/>
          <w:kern w:val="2"/>
          <w:sz w:val="28"/>
          <w:szCs w:val="28"/>
          <w:lang w:eastAsia="zh-CN"/>
        </w:rPr>
      </w:pPr>
      <w:r w:rsidRPr="00AE70FB">
        <w:rPr>
          <w:rFonts w:asciiTheme="minorEastAsia" w:hAnsiTheme="minorEastAsia" w:cs="Arial" w:hint="eastAsia"/>
          <w:color w:val="auto"/>
          <w:kern w:val="2"/>
          <w:sz w:val="28"/>
          <w:szCs w:val="28"/>
          <w:lang w:eastAsia="zh-CN"/>
        </w:rPr>
        <w:t xml:space="preserve">    </w:t>
      </w:r>
      <w:r w:rsidRPr="00AE70FB">
        <w:rPr>
          <w:rFonts w:asciiTheme="minorEastAsia" w:hAnsiTheme="minorEastAsia" w:cs="Arial" w:hint="eastAsia"/>
          <w:b/>
          <w:bCs/>
          <w:color w:val="auto"/>
          <w:kern w:val="2"/>
          <w:sz w:val="28"/>
          <w:szCs w:val="28"/>
          <w:lang w:eastAsia="zh-CN"/>
        </w:rPr>
        <w:t>三、人德：</w:t>
      </w:r>
      <w:r w:rsidRPr="00AE70FB">
        <w:rPr>
          <w:rFonts w:asciiTheme="minorEastAsia" w:hAnsiTheme="minorEastAsia" w:cs="Arial" w:hint="eastAsia"/>
          <w:color w:val="auto"/>
          <w:kern w:val="2"/>
          <w:sz w:val="28"/>
          <w:szCs w:val="28"/>
          <w:lang w:eastAsia="zh-CN"/>
        </w:rPr>
        <w:t>我们最熟悉也最被重视的就是伊斯兰教的伦理道德建设和相关的道德规范，因为是规范人类的行为，所以简称为人德。这方面的论述实在是太多了，我们简单的论述一下，伊斯兰教的伦理道德思想和相关规定。伊斯兰教不仅要求人们信仰真主，而且还要遵循真主为人们制定的伦理道德规范，即《古兰经》所反覆强调的“信主行善”。伊斯兰教义、教法与它所倡导的伦理道德密不可分，伊斯兰教的有些伦理道德规范同时又是伊斯兰的教义和教法条款。《古兰经》处处强调要行善，要公正，禁止作恶、霸道。穆罕默德也很重视道德，他本人就是一位伦理思想家和道德实践者。他的言行是穆斯林伦理道德的典范，成为穆斯林仿效的榜样，被尊崇为“逊奈”(圣行)。他说：“后世之日，信世之功德，分量最重者，是美德，真主最厌恶者是恶</w:t>
      </w:r>
      <w:r w:rsidRPr="00AE70FB">
        <w:rPr>
          <w:rFonts w:asciiTheme="minorEastAsia" w:hAnsiTheme="minorEastAsia" w:cs="Arial" w:hint="eastAsia"/>
          <w:color w:val="auto"/>
          <w:kern w:val="2"/>
          <w:sz w:val="28"/>
          <w:szCs w:val="28"/>
          <w:lang w:eastAsia="zh-CN"/>
        </w:rPr>
        <w:lastRenderedPageBreak/>
        <w:t>性和野性。” “我的使命是为了弘扬一切美德。”</w:t>
      </w:r>
    </w:p>
    <w:p w:rsidR="00AE70FB" w:rsidRPr="00AE70FB" w:rsidRDefault="00AE70FB" w:rsidP="00AE70FB">
      <w:pPr>
        <w:widowControl w:val="0"/>
        <w:bidi w:val="0"/>
        <w:spacing w:before="50" w:afterLines="50" w:after="120"/>
        <w:jc w:val="both"/>
        <w:rPr>
          <w:rFonts w:asciiTheme="minorEastAsia" w:hAnsiTheme="minorEastAsia" w:cs="Arial"/>
          <w:color w:val="auto"/>
          <w:kern w:val="2"/>
          <w:sz w:val="28"/>
          <w:szCs w:val="28"/>
          <w:lang w:eastAsia="zh-CN"/>
        </w:rPr>
      </w:pPr>
      <w:r w:rsidRPr="00AE70FB">
        <w:rPr>
          <w:rFonts w:asciiTheme="minorEastAsia" w:hAnsiTheme="minorEastAsia" w:cs="Arial" w:hint="eastAsia"/>
          <w:color w:val="auto"/>
          <w:kern w:val="2"/>
          <w:sz w:val="28"/>
          <w:szCs w:val="28"/>
          <w:lang w:eastAsia="zh-CN"/>
        </w:rPr>
        <w:t xml:space="preserve">    伊斯兰教道德观之范围可说是包罗万众，它包括对安拉(真主)的信从、宗教的仪节、精神的遵奉、社会的行为、决策的制定、知识的追求、消费的习惯、言谈的态度、以及人们日常生活的其它各方面。对伊斯兰教的道德观，马明良先生做了十分全面的概括和梳理，本文主要引述他的观点。他认为，伊斯兰教的道德观的内容主要包括三个方面：一是调整人与真主之间关系的宗教伦理规范;二是调整人与人之间关系的社会伦理规范;三是调整人与自然关系的生态伦理规范。</w:t>
      </w:r>
    </w:p>
    <w:p w:rsidR="00AE70FB" w:rsidRPr="00AE70FB" w:rsidRDefault="00AE70FB" w:rsidP="00AE70FB">
      <w:pPr>
        <w:widowControl w:val="0"/>
        <w:bidi w:val="0"/>
        <w:spacing w:before="50" w:afterLines="50" w:after="120"/>
        <w:jc w:val="both"/>
        <w:rPr>
          <w:rFonts w:asciiTheme="minorEastAsia" w:hAnsiTheme="minorEastAsia" w:cs="Arial"/>
          <w:color w:val="auto"/>
          <w:kern w:val="2"/>
          <w:sz w:val="28"/>
          <w:szCs w:val="28"/>
          <w:lang w:eastAsia="zh-CN"/>
        </w:rPr>
      </w:pPr>
      <w:r w:rsidRPr="00AE70FB">
        <w:rPr>
          <w:rFonts w:asciiTheme="minorEastAsia" w:hAnsiTheme="minorEastAsia" w:cs="Arial" w:hint="eastAsia"/>
          <w:color w:val="auto"/>
          <w:kern w:val="2"/>
          <w:sz w:val="28"/>
          <w:szCs w:val="28"/>
          <w:lang w:eastAsia="zh-CN"/>
        </w:rPr>
        <w:t xml:space="preserve">    1.调整人与真主之间关系的宗教伦理规范。</w:t>
      </w:r>
    </w:p>
    <w:p w:rsidR="00AE70FB" w:rsidRPr="00AE70FB" w:rsidRDefault="00AE70FB" w:rsidP="00AE70FB">
      <w:pPr>
        <w:widowControl w:val="0"/>
        <w:bidi w:val="0"/>
        <w:spacing w:before="50" w:afterLines="50" w:after="120"/>
        <w:jc w:val="both"/>
        <w:rPr>
          <w:rFonts w:asciiTheme="minorEastAsia" w:hAnsiTheme="minorEastAsia" w:cs="Arial"/>
          <w:color w:val="auto"/>
          <w:kern w:val="2"/>
          <w:sz w:val="28"/>
          <w:szCs w:val="28"/>
          <w:lang w:eastAsia="zh-CN"/>
        </w:rPr>
      </w:pPr>
      <w:r w:rsidRPr="00AE70FB">
        <w:rPr>
          <w:rFonts w:asciiTheme="minorEastAsia" w:hAnsiTheme="minorEastAsia" w:cs="Arial" w:hint="eastAsia"/>
          <w:color w:val="auto"/>
          <w:kern w:val="2"/>
          <w:sz w:val="28"/>
          <w:szCs w:val="28"/>
          <w:lang w:eastAsia="zh-CN"/>
        </w:rPr>
        <w:t>“伊斯兰”意为服从真主的意志，而“穆斯林”的意思是顺从者。自然界的一切存在物都顺从真主的安排，都在真主的驾驭和控制之下。人作为真主在大地上的“代治者”，应该赞美、崇拜、敬畏、感谢、喜爱真主。唯有如此，才是“善”的。在伊斯兰教中，《古兰经》是判断是非善恶的唯一标准或最高标准。其中关于敬畏真主的教训约有250处，如：“你们当中最高贵者为最敬畏安拉者。”“真主确是同敬畏者和行善者在一起。”《古兰经》中关于顺从的教训有100处，如：“顺从真主与使者的人，与真主所赐之先知、贤哲、烈士、义人同在。”用Muslim的话来说，“介乎一位穆斯林与真主安拉之间的关系，乃是一种爱与服从、全然的信任与关怀、和平与感念、坚定不移与积极主动的侍奉之关系。”</w:t>
      </w:r>
    </w:p>
    <w:p w:rsidR="00AE70FB" w:rsidRPr="00AE70FB" w:rsidRDefault="00AE70FB" w:rsidP="00AE70FB">
      <w:pPr>
        <w:widowControl w:val="0"/>
        <w:bidi w:val="0"/>
        <w:spacing w:before="50" w:afterLines="50" w:after="120"/>
        <w:jc w:val="both"/>
        <w:rPr>
          <w:rFonts w:asciiTheme="minorEastAsia" w:hAnsiTheme="minorEastAsia" w:cs="Arial"/>
          <w:color w:val="auto"/>
          <w:kern w:val="2"/>
          <w:sz w:val="28"/>
          <w:szCs w:val="28"/>
          <w:lang w:eastAsia="zh-CN"/>
        </w:rPr>
      </w:pPr>
      <w:r w:rsidRPr="00AE70FB">
        <w:rPr>
          <w:rFonts w:asciiTheme="minorEastAsia" w:hAnsiTheme="minorEastAsia" w:cs="Arial" w:hint="eastAsia"/>
          <w:color w:val="auto"/>
          <w:kern w:val="2"/>
          <w:sz w:val="28"/>
          <w:szCs w:val="28"/>
          <w:lang w:eastAsia="zh-CN"/>
        </w:rPr>
        <w:t xml:space="preserve">    2. 调整人与人之间关系的社会伦理规范。</w:t>
      </w:r>
    </w:p>
    <w:p w:rsidR="00AE70FB" w:rsidRPr="00AE70FB" w:rsidRDefault="00AE70FB" w:rsidP="00AE70FB">
      <w:pPr>
        <w:widowControl w:val="0"/>
        <w:bidi w:val="0"/>
        <w:spacing w:before="50" w:afterLines="50" w:after="120"/>
        <w:jc w:val="both"/>
        <w:rPr>
          <w:rFonts w:asciiTheme="minorEastAsia" w:hAnsiTheme="minorEastAsia" w:cs="Arial"/>
          <w:color w:val="auto"/>
          <w:kern w:val="2"/>
          <w:sz w:val="28"/>
          <w:szCs w:val="28"/>
          <w:lang w:eastAsia="zh-CN"/>
        </w:rPr>
      </w:pPr>
      <w:r w:rsidRPr="00AE70FB">
        <w:rPr>
          <w:rFonts w:asciiTheme="minorEastAsia" w:hAnsiTheme="minorEastAsia" w:cs="Arial" w:hint="eastAsia"/>
          <w:color w:val="auto"/>
          <w:kern w:val="2"/>
          <w:sz w:val="28"/>
          <w:szCs w:val="28"/>
          <w:lang w:eastAsia="zh-CN"/>
        </w:rPr>
        <w:t xml:space="preserve">    伊斯兰教在确定了人与真主之间纵向垂直关系(主仆关系)以后，还确定了调整人与人之间横向平行关系(兄弟关系)。调整人与人之间横向伦理关系的规范，就是社会伦理规范。伊斯兰的社会伦理规范内容很多，但最主要的和最基本的原则有以下几点：</w:t>
      </w:r>
    </w:p>
    <w:p w:rsidR="00AE70FB" w:rsidRPr="00AE70FB" w:rsidRDefault="00AE70FB" w:rsidP="00AE70FB">
      <w:pPr>
        <w:widowControl w:val="0"/>
        <w:bidi w:val="0"/>
        <w:spacing w:before="50" w:afterLines="50" w:after="120"/>
        <w:jc w:val="both"/>
        <w:rPr>
          <w:rFonts w:asciiTheme="minorEastAsia" w:hAnsiTheme="minorEastAsia" w:cs="Arial"/>
          <w:color w:val="auto"/>
          <w:kern w:val="2"/>
          <w:sz w:val="28"/>
          <w:szCs w:val="28"/>
          <w:lang w:eastAsia="zh-CN"/>
        </w:rPr>
      </w:pPr>
      <w:r w:rsidRPr="00AE70FB">
        <w:rPr>
          <w:rFonts w:asciiTheme="minorEastAsia" w:hAnsiTheme="minorEastAsia" w:cs="Arial" w:hint="eastAsia"/>
          <w:color w:val="auto"/>
          <w:kern w:val="2"/>
          <w:sz w:val="28"/>
          <w:szCs w:val="28"/>
          <w:lang w:eastAsia="zh-CN"/>
        </w:rPr>
        <w:t xml:space="preserve">    第一，真主面前人人平等。《古兰经》指出：“我以你们成为大地上的代治者，以便我看你们怎样工作。”(10：14)全人类都是真主造化的，人人都是真主的仆人。因此，人不分部落、民族、种族、地域、语言、文化、门第、阶级、贫富、强弱，在真主面前一律平等。穆罕默德更明确地指出：“你们的主是一个，阿拉伯人与波斯人毫无区别，黑种人与红种人谁也不比谁优越;所不同者只在于敬畏真主，工作善美而已。”又说：“谁伤害异民族，我便是他的敌人。”还说：“我对你们而言，虽是圣人，但我们对真主而言，都是他的仆人，我们都是兄弟姐妹。” “穆斯林是平等的，犹如梳齿一般。”以上种种都说明， 真主面前人人平等，是伊斯兰教社会伦理规范的基础和根本。</w:t>
      </w:r>
    </w:p>
    <w:p w:rsidR="00AE70FB" w:rsidRPr="00AE70FB" w:rsidRDefault="00AE70FB" w:rsidP="00AE70FB">
      <w:pPr>
        <w:widowControl w:val="0"/>
        <w:bidi w:val="0"/>
        <w:spacing w:before="50" w:afterLines="50" w:after="120"/>
        <w:jc w:val="both"/>
        <w:rPr>
          <w:rFonts w:asciiTheme="minorEastAsia" w:hAnsiTheme="minorEastAsia" w:cs="Arial"/>
          <w:color w:val="auto"/>
          <w:kern w:val="2"/>
          <w:sz w:val="28"/>
          <w:szCs w:val="28"/>
          <w:lang w:eastAsia="zh-CN"/>
        </w:rPr>
      </w:pPr>
      <w:r w:rsidRPr="00AE70FB">
        <w:rPr>
          <w:rFonts w:asciiTheme="minorEastAsia" w:hAnsiTheme="minorEastAsia" w:cs="Arial" w:hint="eastAsia"/>
          <w:color w:val="auto"/>
          <w:kern w:val="2"/>
          <w:sz w:val="28"/>
          <w:szCs w:val="28"/>
          <w:lang w:eastAsia="zh-CN"/>
        </w:rPr>
        <w:t xml:space="preserve">    第二，人道主义。伊斯兰教有关人道主义的主要内容有：孝敬父母，慈爱子辈，抚养孤儿，善待奴隶，款待旅客，扶危济困，接济亲属，亲爱近邻，泛爱众生。《古兰经》指出：“正义是信真主、信末日、</w:t>
      </w:r>
      <w:r w:rsidRPr="00AE70FB">
        <w:rPr>
          <w:rFonts w:asciiTheme="minorEastAsia" w:hAnsiTheme="minorEastAsia" w:cs="Arial" w:hint="eastAsia"/>
          <w:color w:val="auto"/>
          <w:kern w:val="2"/>
          <w:sz w:val="28"/>
          <w:szCs w:val="28"/>
          <w:lang w:eastAsia="zh-CN"/>
        </w:rPr>
        <w:lastRenderedPageBreak/>
        <w:t>信天神、信天经、信先知，并将所爱的财物施济亲戚、孤儿、贫民、旅客、乞丐和赎取奴隶，并谨守拜功，完纳天课，履行约言。”(2：177)穆罕默德说：“有信仰的人们相亲相爱，相互同情，相互怜悯，像一个身体一样，如果这个身体上的某个器官生病，其他器官便因此而出现发烧、失眠现象。” 还说：“谁具有三种美德，真主就用荫影掩护他，让他进乐园，慈爱弱者，孝敬父母，善待下属。”“不慈小孩，不尊敬老人者，不是穆斯林;为救护寡妇和贫弱者奔波的人，相当于主道上的战士和昼夜封斋礼拜的修士。”“你不慈悯人，主不慈悯你。只有薄福的恶人才无仁慈，也得不到慈悯。”以上种种说明，人道主义是伊斯兰教社会伦理规范的基本精神和主要要求。</w:t>
      </w:r>
    </w:p>
    <w:p w:rsidR="00AE70FB" w:rsidRPr="00AE70FB" w:rsidRDefault="00AE70FB" w:rsidP="00AE70FB">
      <w:pPr>
        <w:widowControl w:val="0"/>
        <w:bidi w:val="0"/>
        <w:spacing w:before="50" w:afterLines="50" w:after="120"/>
        <w:jc w:val="both"/>
        <w:rPr>
          <w:rFonts w:asciiTheme="minorEastAsia" w:hAnsiTheme="minorEastAsia" w:cs="Arial"/>
          <w:color w:val="auto"/>
          <w:kern w:val="2"/>
          <w:sz w:val="28"/>
          <w:szCs w:val="28"/>
          <w:lang w:eastAsia="zh-CN"/>
        </w:rPr>
      </w:pPr>
      <w:r w:rsidRPr="00AE70FB">
        <w:rPr>
          <w:rFonts w:asciiTheme="minorEastAsia" w:hAnsiTheme="minorEastAsia" w:cs="Arial" w:hint="eastAsia"/>
          <w:color w:val="auto"/>
          <w:kern w:val="2"/>
          <w:sz w:val="28"/>
          <w:szCs w:val="28"/>
          <w:lang w:eastAsia="zh-CN"/>
        </w:rPr>
        <w:t xml:space="preserve">    第三，中正均衡。伊斯兰对任何事物都主张中正、均衡原则。无过无不及。在人与人的关系上，既保证每个社会成员的基本权利，又要他们承担起对社会应有的责任。对个人与集体，既提倡群体价值，又不抹杀个人个性;等等。由于伊斯兰的社会伦理观强调中庸、均衡，所以，穆斯林在处理诸如权利与义务、个人与群体等关系时，并不存在二难选择，其中正、均衡的伦理观使他们能够较自如地处理这些对立统一的关系。</w:t>
      </w:r>
    </w:p>
    <w:p w:rsidR="00AE70FB" w:rsidRPr="00AE70FB" w:rsidRDefault="00AE70FB" w:rsidP="00AE70FB">
      <w:pPr>
        <w:widowControl w:val="0"/>
        <w:bidi w:val="0"/>
        <w:spacing w:before="50" w:afterLines="50" w:after="120"/>
        <w:jc w:val="both"/>
        <w:rPr>
          <w:rFonts w:asciiTheme="minorEastAsia" w:hAnsiTheme="minorEastAsia" w:cs="Arial"/>
          <w:color w:val="auto"/>
          <w:kern w:val="2"/>
          <w:sz w:val="28"/>
          <w:szCs w:val="28"/>
          <w:lang w:eastAsia="zh-CN"/>
        </w:rPr>
      </w:pPr>
      <w:r w:rsidRPr="00AE70FB">
        <w:rPr>
          <w:rFonts w:asciiTheme="minorEastAsia" w:hAnsiTheme="minorEastAsia" w:cs="Arial" w:hint="eastAsia"/>
          <w:color w:val="auto"/>
          <w:kern w:val="2"/>
          <w:sz w:val="28"/>
          <w:szCs w:val="28"/>
          <w:lang w:eastAsia="zh-CN"/>
        </w:rPr>
        <w:t xml:space="preserve">    第四，劝善戒恶。劝善戒恶是伊斯兰伦理道德观的重要内容。</w:t>
      </w:r>
    </w:p>
    <w:p w:rsidR="00AE70FB" w:rsidRPr="00AE70FB" w:rsidRDefault="00AE70FB" w:rsidP="00AE70FB">
      <w:pPr>
        <w:widowControl w:val="0"/>
        <w:bidi w:val="0"/>
        <w:spacing w:before="50" w:afterLines="50" w:after="120"/>
        <w:jc w:val="both"/>
        <w:rPr>
          <w:rFonts w:asciiTheme="minorEastAsia" w:hAnsiTheme="minorEastAsia" w:cs="Arial"/>
          <w:color w:val="auto"/>
          <w:kern w:val="2"/>
          <w:sz w:val="28"/>
          <w:szCs w:val="28"/>
          <w:lang w:eastAsia="zh-CN"/>
        </w:rPr>
      </w:pPr>
      <w:r w:rsidRPr="00AE70FB">
        <w:rPr>
          <w:rFonts w:asciiTheme="minorEastAsia" w:hAnsiTheme="minorEastAsia" w:cs="Arial" w:hint="eastAsia"/>
          <w:color w:val="auto"/>
          <w:kern w:val="2"/>
          <w:sz w:val="28"/>
          <w:szCs w:val="28"/>
          <w:lang w:eastAsia="zh-CN"/>
        </w:rPr>
        <w:t xml:space="preserve">    3.调整人与自然之间关系的生态伦理规范。</w:t>
      </w:r>
    </w:p>
    <w:p w:rsidR="00AE70FB" w:rsidRPr="00AE70FB" w:rsidRDefault="00AE70FB" w:rsidP="00AE70FB">
      <w:pPr>
        <w:widowControl w:val="0"/>
        <w:bidi w:val="0"/>
        <w:spacing w:before="50" w:afterLines="50" w:after="120"/>
        <w:jc w:val="both"/>
        <w:rPr>
          <w:rFonts w:asciiTheme="minorEastAsia" w:hAnsiTheme="minorEastAsia" w:cs="Arial"/>
          <w:color w:val="auto"/>
          <w:kern w:val="2"/>
          <w:sz w:val="28"/>
          <w:szCs w:val="28"/>
          <w:lang w:eastAsia="zh-CN"/>
        </w:rPr>
      </w:pPr>
      <w:r w:rsidRPr="00AE70FB">
        <w:rPr>
          <w:rFonts w:asciiTheme="minorEastAsia" w:hAnsiTheme="minorEastAsia" w:cs="Arial" w:hint="eastAsia"/>
          <w:color w:val="auto"/>
          <w:kern w:val="2"/>
          <w:sz w:val="28"/>
          <w:szCs w:val="28"/>
          <w:lang w:eastAsia="zh-CN"/>
        </w:rPr>
        <w:t xml:space="preserve">    伊斯兰教认为，真主创造了自然万物——日月星辰，整个大自然气象万千、多姿多彩、和谐美妙，有高山、陆地、河流、海洋，还有空气、阳光、水和生活在地球上的无数种动物、植物。所有这一切构成了一个协调有序、生机盎然的宇宙大家庭。人类就是这个大家庭中的一员，而且是真主在大地上的“代治者”。因此，人除了处理好与真主和同类之间的关系以外，还得处理好同自身赖以生存的大自然之间的关系。处理好同自然之间的关系，要求人们把握两点，一是接近自然而不崇拜自然;二是改造自然而不滥用自然。</w:t>
      </w:r>
    </w:p>
    <w:p w:rsidR="00AE70FB" w:rsidRPr="00AE70FB" w:rsidRDefault="00AE70FB" w:rsidP="00AE70FB">
      <w:pPr>
        <w:widowControl w:val="0"/>
        <w:bidi w:val="0"/>
        <w:spacing w:before="50" w:afterLines="50" w:after="120"/>
        <w:jc w:val="both"/>
        <w:rPr>
          <w:rFonts w:asciiTheme="minorEastAsia" w:hAnsiTheme="minorEastAsia" w:cs="Arial"/>
          <w:color w:val="auto"/>
          <w:kern w:val="2"/>
          <w:sz w:val="28"/>
          <w:szCs w:val="28"/>
          <w:lang w:eastAsia="zh-CN"/>
        </w:rPr>
      </w:pPr>
      <w:r w:rsidRPr="00AE70FB">
        <w:rPr>
          <w:rFonts w:asciiTheme="minorEastAsia" w:hAnsiTheme="minorEastAsia" w:cs="Arial" w:hint="eastAsia"/>
          <w:color w:val="auto"/>
          <w:kern w:val="2"/>
          <w:sz w:val="28"/>
          <w:szCs w:val="28"/>
          <w:lang w:eastAsia="zh-CN"/>
        </w:rPr>
        <w:t xml:space="preserve">    我们对伊斯兰教道德观的主要特点作一番总结：(1)在人与真主的关系上，伊斯兰要求人们在牢固确立六大信条(信真主、信末日、信天神、信天经、信先知、信来世)的基础上坚持五大功修(念功、拜功、斋功、课功、朝功)，在所有领域都要体现人与主之间的主仆关系。(2)在人与人的关系上，伊斯兰主张人人平等，相亲相爱，和睦相处。此外，伊斯兰主张在个人与群体之间建立起一种均衡关系，既保证每个社会成员的基本权利，又要他们承担起对社会应有的责任。(3)伊斯兰在人与自然的关系上提出接近自然而不崇拜自然，改造自然而不滥用自然的中正之道。接近自然为了领悟大自然的奥秘所在，从而更好地把握宇宙的运动变化规律，坚定自己的信念;改造自然的目的是通过辛勤的劳动，合理的开发自然来创造幸福美好的人生。通</w:t>
      </w:r>
      <w:r w:rsidRPr="00AE70FB">
        <w:rPr>
          <w:rFonts w:asciiTheme="minorEastAsia" w:hAnsiTheme="minorEastAsia" w:cs="Arial" w:hint="eastAsia"/>
          <w:color w:val="auto"/>
          <w:kern w:val="2"/>
          <w:sz w:val="28"/>
          <w:szCs w:val="28"/>
          <w:lang w:eastAsia="zh-CN"/>
        </w:rPr>
        <w:lastRenderedPageBreak/>
        <w:t>过以上我们对伊斯兰教道德的解析和了解，我们知道，教德是伊斯兰教的道德基础，法德是伊斯兰教的道德途径，而人德是伊斯兰教的道德结果。完善人性，纯洁善行是穆斯林最终的追求和归宿。但是我们清楚的看到，宗教倡导的高尚道德理念在社会生活中还远远没有被理解和遵行，有的无德，有的缺德，有的薄德。离厚德的要求相差很远，在伊斯兰教组织，在教职人员，在穆斯林信众中，都存在或多或少的不足和缺憾。有的追求名利，有的卖名显夸，有的沽名钓誉，还有的追求物质利益的享乐，追求浮华，表现出与一名纯粹和虔诚的信仰者极大的差距。这些都要在弘扬社会主义道德和宗教道德，践行北京精神的过程中加以完善和改变。我们深信，作为宗教界人士，一定会在首都精神文明建设中，在发掘和继承优良的传统文化过程中，不断的纯洁自身，立行善举，完善人生。</w:t>
      </w:r>
    </w:p>
    <w:p w:rsidR="00AE70FB" w:rsidRDefault="00AE70FB" w:rsidP="00AE70FB">
      <w:pPr>
        <w:widowControl w:val="0"/>
        <w:bidi w:val="0"/>
        <w:spacing w:before="50"/>
        <w:ind w:rightChars="404" w:right="970" w:firstLineChars="150" w:firstLine="420"/>
        <w:jc w:val="both"/>
        <w:rPr>
          <w:rFonts w:cs="Arial" w:hint="eastAsia"/>
          <w:color w:val="auto"/>
          <w:kern w:val="2"/>
          <w:sz w:val="28"/>
          <w:szCs w:val="28"/>
          <w:lang w:eastAsia="zh-CN"/>
        </w:rPr>
      </w:pPr>
    </w:p>
    <w:p w:rsidR="00AE70FB" w:rsidRPr="00AE70FB" w:rsidRDefault="00AE70FB" w:rsidP="00AE70FB">
      <w:pPr>
        <w:widowControl w:val="0"/>
        <w:bidi w:val="0"/>
        <w:spacing w:before="50"/>
        <w:ind w:rightChars="404" w:right="970" w:firstLineChars="150" w:firstLine="420"/>
        <w:jc w:val="both"/>
        <w:rPr>
          <w:rFonts w:cs="Arial"/>
          <w:color w:val="auto"/>
          <w:kern w:val="2"/>
          <w:sz w:val="28"/>
          <w:szCs w:val="28"/>
          <w:rtl/>
          <w:lang w:eastAsia="zh-CN"/>
        </w:rPr>
      </w:pPr>
      <w:bookmarkStart w:id="0" w:name="_GoBack"/>
      <w:bookmarkEnd w:id="0"/>
      <w:r w:rsidRPr="00AE70FB">
        <w:rPr>
          <w:rFonts w:cs="Arial" w:hint="eastAsia"/>
          <w:color w:val="auto"/>
          <w:kern w:val="2"/>
          <w:sz w:val="28"/>
          <w:szCs w:val="28"/>
          <w:lang w:eastAsia="zh-CN"/>
        </w:rPr>
        <w:t>【完】</w:t>
      </w:r>
    </w:p>
    <w:p w:rsidR="00AE70FB" w:rsidRPr="00AE70FB" w:rsidRDefault="00AE70FB" w:rsidP="00AE70FB">
      <w:pPr>
        <w:widowControl w:val="0"/>
        <w:bidi w:val="0"/>
        <w:jc w:val="both"/>
        <w:rPr>
          <w:rFonts w:cs="Arial"/>
          <w:color w:val="auto"/>
          <w:kern w:val="2"/>
          <w:sz w:val="21"/>
          <w:szCs w:val="24"/>
          <w:lang w:eastAsia="zh-CN"/>
        </w:rPr>
      </w:pPr>
    </w:p>
    <w:p w:rsidR="00EB6455" w:rsidRPr="00856385" w:rsidRDefault="00EB6455" w:rsidP="00AE70FB">
      <w:pPr>
        <w:bidi w:val="0"/>
        <w:jc w:val="center"/>
        <w:rPr>
          <w:rFonts w:asciiTheme="minorEastAsia" w:eastAsiaTheme="minorEastAsia" w:hAnsiTheme="minorEastAsia"/>
          <w:bCs/>
          <w:sz w:val="28"/>
          <w:szCs w:val="28"/>
          <w:lang w:eastAsia="zh-CN"/>
        </w:rPr>
      </w:pPr>
    </w:p>
    <w:sectPr w:rsidR="00EB6455" w:rsidRPr="00856385" w:rsidSect="00156EB3">
      <w:footerReference w:type="even" r:id="rId13"/>
      <w:footerReference w:type="default" r:id="rId14"/>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DDC" w:rsidRDefault="00733DDC" w:rsidP="00EB6455">
      <w:r>
        <w:separator/>
      </w:r>
    </w:p>
  </w:endnote>
  <w:endnote w:type="continuationSeparator" w:id="0">
    <w:p w:rsidR="00733DDC" w:rsidRDefault="00733DDC"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ylotus">
    <w:altName w:val="Times New Roman"/>
    <w:charset w:val="00"/>
    <w:family w:val="auto"/>
    <w:pitch w:val="variable"/>
    <w:sig w:usb0="00000000" w:usb1="80000000" w:usb2="00000008" w:usb3="00000000" w:csb0="00000043" w:csb1="00000000"/>
  </w:font>
  <w:font w:name="华文新魏">
    <w:panose1 w:val="02010800040101010101"/>
    <w:charset w:val="86"/>
    <w:family w:val="auto"/>
    <w:pitch w:val="variable"/>
    <w:sig w:usb0="00000001" w:usb1="080F0000" w:usb2="00000010" w:usb3="00000000" w:csb0="00040000" w:csb1="00000000"/>
  </w:font>
  <w:font w:name="KFGQPC Uthman Taha Naskh">
    <w:altName w:val="Times New Roman"/>
    <w:panose1 w:val="00000000000000000000"/>
    <w:charset w:val="B2"/>
    <w:family w:val="auto"/>
    <w:notTrueType/>
    <w:pitch w:val="variable"/>
    <w:sig w:usb0="00002001" w:usb1="00000000" w:usb2="00000000" w:usb3="00000000" w:csb0="00000040" w:csb1="00000000"/>
  </w:font>
  <w:font w:name="华文行楷">
    <w:panose1 w:val="02010800040101010101"/>
    <w:charset w:val="86"/>
    <w:family w:val="auto"/>
    <w:pitch w:val="variable"/>
    <w:sig w:usb0="00000001" w:usb1="080F0000" w:usb2="00000010" w:usb3="00000000" w:csb0="00040000" w:csb1="00000000"/>
  </w:font>
  <w:font w:name="TR Bahamas Light">
    <w:altName w:val="微软雅黑"/>
    <w:charset w:val="00"/>
    <w:family w:val="swiss"/>
    <w:pitch w:val="variable"/>
    <w:sig w:usb0="00000001" w:usb1="00000000" w:usb2="00000000" w:usb3="00000000" w:csb0="00000011" w:csb1="00000000"/>
  </w:font>
  <w:font w:name="AL-Mohanad">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331" w:rsidRDefault="00DB44B1" w:rsidP="007C2C4F">
    <w:pPr>
      <w:pStyle w:val="a5"/>
      <w:framePr w:wrap="around" w:vAnchor="text" w:hAnchor="text" w:xAlign="center" w:y="1"/>
      <w:rPr>
        <w:rStyle w:val="a6"/>
      </w:rPr>
    </w:pPr>
    <w:r>
      <w:rPr>
        <w:rStyle w:val="a6"/>
        <w:rtl/>
      </w:rPr>
      <w:fldChar w:fldCharType="begin"/>
    </w:r>
    <w:r>
      <w:rPr>
        <w:rStyle w:val="a6"/>
      </w:rPr>
      <w:instrText xml:space="preserve">PAGE  </w:instrText>
    </w:r>
    <w:r>
      <w:rPr>
        <w:rStyle w:val="a6"/>
        <w:rtl/>
      </w:rPr>
      <w:fldChar w:fldCharType="end"/>
    </w:r>
  </w:p>
  <w:p w:rsidR="005C5331" w:rsidRDefault="00733DD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EB3" w:rsidRDefault="00DB44B1" w:rsidP="00140785">
    <w:pPr>
      <w:pStyle w:val="a5"/>
      <w:jc w:val="center"/>
      <w:rPr>
        <w:sz w:val="28"/>
        <w:szCs w:val="28"/>
        <w:lang w:bidi="ar-EG"/>
      </w:rPr>
    </w:pPr>
    <w:r w:rsidRPr="00923817">
      <w:rPr>
        <w:sz w:val="28"/>
        <w:szCs w:val="28"/>
      </w:rPr>
      <w:fldChar w:fldCharType="begin"/>
    </w:r>
    <w:r w:rsidRPr="00923817">
      <w:rPr>
        <w:sz w:val="28"/>
        <w:szCs w:val="28"/>
      </w:rPr>
      <w:instrText xml:space="preserve"> PAGE  \* Arabic  \* MERGEFORMAT </w:instrText>
    </w:r>
    <w:r w:rsidRPr="00923817">
      <w:rPr>
        <w:sz w:val="28"/>
        <w:szCs w:val="28"/>
      </w:rPr>
      <w:fldChar w:fldCharType="separate"/>
    </w:r>
    <w:r w:rsidR="00AE70FB">
      <w:rPr>
        <w:noProof/>
        <w:sz w:val="28"/>
        <w:szCs w:val="28"/>
      </w:rPr>
      <w:t>6</w:t>
    </w:r>
    <w:r w:rsidRPr="00923817">
      <w:rPr>
        <w:sz w:val="28"/>
        <w:szCs w:val="28"/>
      </w:rPr>
      <w:fldChar w:fldCharType="end"/>
    </w:r>
  </w:p>
  <w:p w:rsidR="005C5331" w:rsidRPr="00156EB3" w:rsidRDefault="00733DDC" w:rsidP="00156EB3">
    <w:pPr>
      <w:pStyle w:val="a5"/>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DDC" w:rsidRDefault="00733DDC" w:rsidP="00EB6455">
      <w:r>
        <w:separator/>
      </w:r>
    </w:p>
  </w:footnote>
  <w:footnote w:type="continuationSeparator" w:id="0">
    <w:p w:rsidR="00733DDC" w:rsidRDefault="00733DDC"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55"/>
    <w:rsid w:val="0007618C"/>
    <w:rsid w:val="00733DDC"/>
    <w:rsid w:val="00856385"/>
    <w:rsid w:val="00AE70FB"/>
    <w:rsid w:val="00DB44B1"/>
    <w:rsid w:val="00DC4991"/>
    <w:rsid w:val="00EB64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AE70F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AE70FB"/>
    <w:rPr>
      <w:rFonts w:ascii="Times New Roman" w:eastAsia="宋体" w:hAnsi="Times New Roman" w:cs="Traditional Arabic"/>
      <w:color w:val="000000"/>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AE70F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AE70FB"/>
    <w:rPr>
      <w:rFonts w:ascii="Times New Roman" w:eastAsia="宋体" w:hAnsi="Times New Roman" w:cs="Traditional Arabic"/>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slamhouse.com/" TargetMode="External"/><Relationship Id="rId12" Type="http://schemas.microsoft.com/office/2007/relationships/hdphoto" Target="media/hdphoto1.wdp"/><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file:///C:\Documents%20and%20Settings\apomosap\My%20Documents\My%20Pictures\logo_islamhouse.tif"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2014-07-06T08:19:00Z</dcterms:created>
  <dcterms:modified xsi:type="dcterms:W3CDTF">2014-07-06T08:19:00Z</dcterms:modified>
</cp:coreProperties>
</file>